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2C" w:rsidRPr="00C63D2C" w:rsidRDefault="0035028E" w:rsidP="00C63D2C">
      <w:pPr>
        <w:jc w:val="center"/>
        <w:rPr>
          <w:b/>
          <w:sz w:val="28"/>
        </w:rPr>
      </w:pPr>
      <w:r w:rsidRPr="00395D50">
        <w:rPr>
          <w:b/>
          <w:sz w:val="28"/>
        </w:rPr>
        <w:t>Scrutiny Recommendation Tracker 201</w:t>
      </w:r>
      <w:r w:rsidR="00EC1706">
        <w:rPr>
          <w:b/>
          <w:sz w:val="28"/>
        </w:rPr>
        <w:t>5-16</w:t>
      </w:r>
      <w:r w:rsidR="00C63D2C">
        <w:rPr>
          <w:b/>
          <w:sz w:val="28"/>
        </w:rPr>
        <w:t xml:space="preserve"> </w:t>
      </w:r>
      <w:r w:rsidR="00F573E0">
        <w:rPr>
          <w:b/>
          <w:sz w:val="28"/>
        </w:rPr>
        <w:t>(e</w:t>
      </w:r>
      <w:r w:rsidR="00C63D2C">
        <w:rPr>
          <w:b/>
          <w:sz w:val="28"/>
        </w:rPr>
        <w:t>x</w:t>
      </w:r>
      <w:r w:rsidR="00C63D2C" w:rsidRPr="00C63D2C">
        <w:rPr>
          <w:b/>
          <w:sz w:val="28"/>
        </w:rPr>
        <w:t>ception report</w:t>
      </w:r>
      <w:r w:rsidR="00F573E0">
        <w:rPr>
          <w:b/>
          <w:sz w:val="28"/>
        </w:rPr>
        <w:t>)</w:t>
      </w:r>
    </w:p>
    <w:p w:rsidR="00C63D2C" w:rsidRDefault="00C63D2C" w:rsidP="0035028E">
      <w:pPr>
        <w:jc w:val="center"/>
        <w:rPr>
          <w:b/>
          <w:sz w:val="28"/>
        </w:rPr>
      </w:pPr>
    </w:p>
    <w:p w:rsidR="00C63D2C" w:rsidRPr="00C63D2C" w:rsidRDefault="00712970" w:rsidP="00C63D2C">
      <w:r>
        <w:t>Listed below are</w:t>
      </w:r>
      <w:r w:rsidR="00C63D2C">
        <w:t xml:space="preserve"> recommendations made by the Scrutiny Committee to the City Executive Bo</w:t>
      </w:r>
      <w:bookmarkStart w:id="0" w:name="_GoBack"/>
      <w:bookmarkEnd w:id="0"/>
      <w:r w:rsidR="00C63D2C">
        <w:t xml:space="preserve">ard between May and October 2015 that </w:t>
      </w:r>
      <w:r>
        <w:t xml:space="preserve">have been </w:t>
      </w:r>
      <w:r w:rsidR="00C63D2C">
        <w:t xml:space="preserve">agreed but not yet fully </w:t>
      </w:r>
      <w:r>
        <w:t>implemented:</w:t>
      </w:r>
    </w:p>
    <w:p w:rsidR="00422502" w:rsidRDefault="00422502" w:rsidP="0035028E">
      <w:pPr>
        <w:jc w:val="center"/>
        <w:rPr>
          <w:b/>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992"/>
        <w:gridCol w:w="5103"/>
        <w:gridCol w:w="1559"/>
        <w:gridCol w:w="142"/>
        <w:gridCol w:w="1418"/>
      </w:tblGrid>
      <w:tr w:rsidR="00044F81" w:rsidRPr="003E7E28" w:rsidTr="003A6504">
        <w:trPr>
          <w:trHeight w:val="197"/>
        </w:trPr>
        <w:tc>
          <w:tcPr>
            <w:tcW w:w="13892" w:type="dxa"/>
            <w:gridSpan w:val="6"/>
            <w:shd w:val="clear" w:color="auto" w:fill="D9D9D9" w:themeFill="background1" w:themeFillShade="D9"/>
          </w:tcPr>
          <w:p w:rsidR="00044F81" w:rsidRPr="00417C2D" w:rsidRDefault="00044F81" w:rsidP="00417C2D">
            <w:pPr>
              <w:rPr>
                <w:rFonts w:cs="Arial"/>
                <w:b/>
              </w:rPr>
            </w:pPr>
            <w:r>
              <w:rPr>
                <w:rFonts w:cs="Arial"/>
                <w:b/>
              </w:rPr>
              <w:t>Arrangements for fitting Solar Panels – 8</w:t>
            </w:r>
            <w:r w:rsidRPr="00044F81">
              <w:rPr>
                <w:rFonts w:cs="Arial"/>
                <w:b/>
                <w:vertAlign w:val="superscript"/>
              </w:rPr>
              <w:t>th</w:t>
            </w:r>
            <w:r>
              <w:rPr>
                <w:rFonts w:cs="Arial"/>
                <w:b/>
              </w:rPr>
              <w:t xml:space="preserve"> October Housing Panel</w:t>
            </w:r>
          </w:p>
        </w:tc>
      </w:tr>
      <w:tr w:rsidR="00044F81" w:rsidRPr="003E7E28" w:rsidTr="00634CB5">
        <w:tc>
          <w:tcPr>
            <w:tcW w:w="4678" w:type="dxa"/>
            <w:shd w:val="clear" w:color="auto" w:fill="auto"/>
            <w:vAlign w:val="center"/>
          </w:tcPr>
          <w:p w:rsidR="00044F81" w:rsidRPr="003E7E28" w:rsidRDefault="00044F81" w:rsidP="003A6504">
            <w:pPr>
              <w:rPr>
                <w:rFonts w:cs="Arial"/>
                <w:b/>
              </w:rPr>
            </w:pPr>
            <w:r w:rsidRPr="003E7E28">
              <w:rPr>
                <w:rFonts w:cs="Arial"/>
                <w:b/>
              </w:rPr>
              <w:t>Recommendation</w:t>
            </w:r>
          </w:p>
        </w:tc>
        <w:tc>
          <w:tcPr>
            <w:tcW w:w="992" w:type="dxa"/>
            <w:shd w:val="clear" w:color="auto" w:fill="auto"/>
            <w:vAlign w:val="center"/>
          </w:tcPr>
          <w:p w:rsidR="00044F81" w:rsidRPr="003E7E28" w:rsidRDefault="00044F81" w:rsidP="003A6504">
            <w:pPr>
              <w:rPr>
                <w:rFonts w:cs="Arial"/>
                <w:b/>
              </w:rPr>
            </w:pPr>
            <w:r w:rsidRPr="003E7E28">
              <w:rPr>
                <w:rFonts w:cs="Arial"/>
                <w:b/>
              </w:rPr>
              <w:t>Agreed Y/N</w:t>
            </w:r>
          </w:p>
        </w:tc>
        <w:tc>
          <w:tcPr>
            <w:tcW w:w="5103" w:type="dxa"/>
            <w:shd w:val="clear" w:color="auto" w:fill="auto"/>
            <w:vAlign w:val="center"/>
          </w:tcPr>
          <w:p w:rsidR="00044F81" w:rsidRPr="003E7E28" w:rsidRDefault="00044F81" w:rsidP="003A6504">
            <w:pPr>
              <w:rPr>
                <w:rFonts w:cs="Arial"/>
                <w:b/>
              </w:rPr>
            </w:pPr>
            <w:r w:rsidRPr="003E7E28">
              <w:rPr>
                <w:rFonts w:cs="Arial"/>
                <w:b/>
              </w:rPr>
              <w:t>Executive response</w:t>
            </w:r>
          </w:p>
        </w:tc>
        <w:tc>
          <w:tcPr>
            <w:tcW w:w="1701" w:type="dxa"/>
            <w:gridSpan w:val="2"/>
            <w:vAlign w:val="center"/>
          </w:tcPr>
          <w:p w:rsidR="00044F81" w:rsidRPr="003E7E28" w:rsidRDefault="00044F81" w:rsidP="003A6504">
            <w:pPr>
              <w:rPr>
                <w:rFonts w:cs="Arial"/>
                <w:b/>
              </w:rPr>
            </w:pPr>
            <w:r w:rsidRPr="003E7E28">
              <w:rPr>
                <w:rFonts w:cs="Arial"/>
                <w:b/>
              </w:rPr>
              <w:t xml:space="preserve">Lead Member &amp; Officer </w:t>
            </w:r>
          </w:p>
        </w:tc>
        <w:tc>
          <w:tcPr>
            <w:tcW w:w="1418" w:type="dxa"/>
            <w:vAlign w:val="center"/>
          </w:tcPr>
          <w:p w:rsidR="00044F81" w:rsidRPr="003E7E28" w:rsidRDefault="00C63D2C" w:rsidP="00C63D2C">
            <w:pPr>
              <w:rPr>
                <w:rFonts w:cs="Arial"/>
                <w:b/>
              </w:rPr>
            </w:pPr>
            <w:r>
              <w:rPr>
                <w:rFonts w:cs="Arial"/>
                <w:b/>
              </w:rPr>
              <w:t>D</w:t>
            </w:r>
            <w:r w:rsidR="00044F81" w:rsidRPr="003E7E28">
              <w:rPr>
                <w:rFonts w:cs="Arial"/>
                <w:b/>
              </w:rPr>
              <w:t xml:space="preserve">ue </w:t>
            </w:r>
            <w:r>
              <w:rPr>
                <w:rFonts w:cs="Arial"/>
                <w:b/>
              </w:rPr>
              <w:t>date</w:t>
            </w:r>
          </w:p>
        </w:tc>
      </w:tr>
      <w:tr w:rsidR="00044F81" w:rsidRPr="003E7E28" w:rsidTr="00634CB5">
        <w:tc>
          <w:tcPr>
            <w:tcW w:w="4678" w:type="dxa"/>
            <w:shd w:val="clear" w:color="auto" w:fill="auto"/>
          </w:tcPr>
          <w:p w:rsidR="00044F81" w:rsidRPr="00D50FD4" w:rsidRDefault="00417C2D" w:rsidP="00417C2D">
            <w:pPr>
              <w:ind w:left="34"/>
              <w:rPr>
                <w:rFonts w:cs="Arial"/>
              </w:rPr>
            </w:pPr>
            <w:r>
              <w:rPr>
                <w:rFonts w:cs="Arial"/>
              </w:rPr>
              <w:t>1.</w:t>
            </w:r>
            <w:r w:rsidR="00231089" w:rsidRPr="00231089">
              <w:rPr>
                <w:rFonts w:cs="Arial"/>
              </w:rPr>
              <w:t xml:space="preserve"> That the City Council should make every effort to enter into a viable agreement with the Low Carbon Hub as soon as possible in order to maximise the available benefits of fitting solar panels on Council-owned housing stock.</w:t>
            </w:r>
          </w:p>
        </w:tc>
        <w:tc>
          <w:tcPr>
            <w:tcW w:w="992" w:type="dxa"/>
            <w:shd w:val="clear" w:color="auto" w:fill="auto"/>
          </w:tcPr>
          <w:p w:rsidR="00044F81" w:rsidRPr="00D50FD4" w:rsidRDefault="00044F81" w:rsidP="003A6504">
            <w:pPr>
              <w:rPr>
                <w:rFonts w:cs="Arial"/>
              </w:rPr>
            </w:pPr>
            <w:r>
              <w:rPr>
                <w:rFonts w:cs="Arial"/>
              </w:rPr>
              <w:t>Y</w:t>
            </w:r>
          </w:p>
        </w:tc>
        <w:tc>
          <w:tcPr>
            <w:tcW w:w="5103" w:type="dxa"/>
            <w:shd w:val="clear" w:color="auto" w:fill="auto"/>
          </w:tcPr>
          <w:p w:rsidR="00231089" w:rsidRPr="00C67775" w:rsidRDefault="00231089" w:rsidP="00231089">
            <w:pPr>
              <w:rPr>
                <w:rFonts w:cs="Arial"/>
              </w:rPr>
            </w:pPr>
            <w:r w:rsidRPr="00C67775">
              <w:rPr>
                <w:rFonts w:cs="Arial"/>
              </w:rPr>
              <w:t>I agree with the recommendation and indeed officers are already looking at ways of working with the Low Carbon Hub to help install PV panels on Council homes.</w:t>
            </w:r>
          </w:p>
          <w:p w:rsidR="00044F81" w:rsidRPr="00D50FD4" w:rsidRDefault="00044F81" w:rsidP="003A6504">
            <w:pPr>
              <w:rPr>
                <w:rFonts w:cs="Arial"/>
              </w:rPr>
            </w:pPr>
          </w:p>
        </w:tc>
        <w:tc>
          <w:tcPr>
            <w:tcW w:w="1701" w:type="dxa"/>
            <w:gridSpan w:val="2"/>
          </w:tcPr>
          <w:p w:rsidR="00044F81" w:rsidRPr="003E7E28" w:rsidRDefault="00417C2D" w:rsidP="003A6504">
            <w:pPr>
              <w:rPr>
                <w:rFonts w:cs="Arial"/>
              </w:rPr>
            </w:pPr>
            <w:r>
              <w:rPr>
                <w:rFonts w:cs="Arial"/>
              </w:rPr>
              <w:t>Cllr Rowley &amp; Stephen Clarke</w:t>
            </w:r>
          </w:p>
        </w:tc>
        <w:tc>
          <w:tcPr>
            <w:tcW w:w="1418" w:type="dxa"/>
          </w:tcPr>
          <w:p w:rsidR="00044F81" w:rsidRPr="003E7E28" w:rsidRDefault="00417C2D" w:rsidP="003A6504">
            <w:pPr>
              <w:rPr>
                <w:rFonts w:cs="Arial"/>
              </w:rPr>
            </w:pPr>
            <w:r>
              <w:rPr>
                <w:rFonts w:cs="Arial"/>
              </w:rPr>
              <w:t>Feb 2016</w:t>
            </w:r>
          </w:p>
        </w:tc>
      </w:tr>
      <w:tr w:rsidR="00044F81" w:rsidRPr="003E7E28" w:rsidTr="003A6504">
        <w:trPr>
          <w:trHeight w:val="197"/>
        </w:trPr>
        <w:tc>
          <w:tcPr>
            <w:tcW w:w="13892" w:type="dxa"/>
            <w:gridSpan w:val="6"/>
            <w:shd w:val="clear" w:color="auto" w:fill="D9D9D9" w:themeFill="background1" w:themeFillShade="D9"/>
          </w:tcPr>
          <w:p w:rsidR="00044F81" w:rsidRPr="003E7E28" w:rsidRDefault="00417C2D" w:rsidP="00417C2D">
            <w:pPr>
              <w:rPr>
                <w:rFonts w:cs="Arial"/>
                <w:b/>
                <w:color w:val="A6A6A6" w:themeColor="background1" w:themeShade="A6"/>
              </w:rPr>
            </w:pPr>
            <w:r>
              <w:rPr>
                <w:rFonts w:cs="Arial"/>
                <w:b/>
              </w:rPr>
              <w:t>Additional Licensi</w:t>
            </w:r>
            <w:r w:rsidR="00044F81">
              <w:rPr>
                <w:rFonts w:cs="Arial"/>
                <w:b/>
              </w:rPr>
              <w:t>n</w:t>
            </w:r>
            <w:r>
              <w:rPr>
                <w:rFonts w:cs="Arial"/>
                <w:b/>
              </w:rPr>
              <w:t>g</w:t>
            </w:r>
            <w:r w:rsidR="00044F81">
              <w:rPr>
                <w:rFonts w:cs="Arial"/>
                <w:b/>
              </w:rPr>
              <w:t xml:space="preserve"> for HMOs – 8</w:t>
            </w:r>
            <w:r w:rsidR="00044F81" w:rsidRPr="00044F81">
              <w:rPr>
                <w:rFonts w:cs="Arial"/>
                <w:b/>
                <w:vertAlign w:val="superscript"/>
              </w:rPr>
              <w:t>th</w:t>
            </w:r>
            <w:r>
              <w:rPr>
                <w:rFonts w:cs="Arial"/>
                <w:b/>
              </w:rPr>
              <w:t xml:space="preserve"> October Housing Panel</w:t>
            </w:r>
          </w:p>
        </w:tc>
      </w:tr>
      <w:tr w:rsidR="00044F81" w:rsidRPr="003E7E28" w:rsidTr="00C63D2C">
        <w:tc>
          <w:tcPr>
            <w:tcW w:w="4678" w:type="dxa"/>
            <w:shd w:val="clear" w:color="auto" w:fill="auto"/>
            <w:vAlign w:val="center"/>
          </w:tcPr>
          <w:p w:rsidR="00044F81" w:rsidRPr="003E7E28" w:rsidRDefault="00044F81" w:rsidP="003A6504">
            <w:pPr>
              <w:rPr>
                <w:rFonts w:cs="Arial"/>
                <w:b/>
              </w:rPr>
            </w:pPr>
            <w:r w:rsidRPr="003E7E28">
              <w:rPr>
                <w:rFonts w:cs="Arial"/>
                <w:b/>
              </w:rPr>
              <w:t>Recommendation</w:t>
            </w:r>
          </w:p>
        </w:tc>
        <w:tc>
          <w:tcPr>
            <w:tcW w:w="992" w:type="dxa"/>
            <w:shd w:val="clear" w:color="auto" w:fill="auto"/>
            <w:vAlign w:val="center"/>
          </w:tcPr>
          <w:p w:rsidR="00044F81" w:rsidRPr="003E7E28" w:rsidRDefault="00044F81" w:rsidP="003A6504">
            <w:pPr>
              <w:rPr>
                <w:rFonts w:cs="Arial"/>
                <w:b/>
              </w:rPr>
            </w:pPr>
            <w:r w:rsidRPr="003E7E28">
              <w:rPr>
                <w:rFonts w:cs="Arial"/>
                <w:b/>
              </w:rPr>
              <w:t>Agreed Y/N</w:t>
            </w:r>
          </w:p>
        </w:tc>
        <w:tc>
          <w:tcPr>
            <w:tcW w:w="5103" w:type="dxa"/>
            <w:shd w:val="clear" w:color="auto" w:fill="auto"/>
            <w:vAlign w:val="center"/>
          </w:tcPr>
          <w:p w:rsidR="00044F81" w:rsidRPr="003E7E28" w:rsidRDefault="00044F81" w:rsidP="003A6504">
            <w:pPr>
              <w:rPr>
                <w:rFonts w:cs="Arial"/>
                <w:b/>
              </w:rPr>
            </w:pPr>
            <w:r w:rsidRPr="003E7E28">
              <w:rPr>
                <w:rFonts w:cs="Arial"/>
                <w:b/>
              </w:rPr>
              <w:t>Executive response</w:t>
            </w:r>
          </w:p>
        </w:tc>
        <w:tc>
          <w:tcPr>
            <w:tcW w:w="1701" w:type="dxa"/>
            <w:gridSpan w:val="2"/>
            <w:vAlign w:val="center"/>
          </w:tcPr>
          <w:p w:rsidR="00044F81" w:rsidRPr="003E7E28" w:rsidRDefault="00044F81" w:rsidP="003A6504">
            <w:pPr>
              <w:rPr>
                <w:rFonts w:cs="Arial"/>
                <w:b/>
              </w:rPr>
            </w:pPr>
            <w:r w:rsidRPr="003E7E28">
              <w:rPr>
                <w:rFonts w:cs="Arial"/>
                <w:b/>
              </w:rPr>
              <w:t xml:space="preserve">Member &amp; Officer </w:t>
            </w:r>
          </w:p>
        </w:tc>
        <w:tc>
          <w:tcPr>
            <w:tcW w:w="1418" w:type="dxa"/>
            <w:vAlign w:val="center"/>
          </w:tcPr>
          <w:p w:rsidR="00044F81" w:rsidRPr="003E7E28" w:rsidRDefault="00C63D2C" w:rsidP="00C63D2C">
            <w:pPr>
              <w:rPr>
                <w:rFonts w:cs="Arial"/>
                <w:b/>
              </w:rPr>
            </w:pPr>
            <w:r>
              <w:rPr>
                <w:rFonts w:cs="Arial"/>
                <w:b/>
              </w:rPr>
              <w:t>D</w:t>
            </w:r>
            <w:r w:rsidR="00044F81" w:rsidRPr="003E7E28">
              <w:rPr>
                <w:rFonts w:cs="Arial"/>
                <w:b/>
              </w:rPr>
              <w:t xml:space="preserve">ue </w:t>
            </w:r>
            <w:r>
              <w:rPr>
                <w:rFonts w:cs="Arial"/>
                <w:b/>
              </w:rPr>
              <w:t>date</w:t>
            </w:r>
          </w:p>
        </w:tc>
      </w:tr>
      <w:tr w:rsidR="00044F81" w:rsidRPr="003E7E28" w:rsidTr="00C63D2C">
        <w:tc>
          <w:tcPr>
            <w:tcW w:w="4678" w:type="dxa"/>
            <w:shd w:val="clear" w:color="auto" w:fill="auto"/>
          </w:tcPr>
          <w:p w:rsidR="00044F81" w:rsidRPr="00D50FD4" w:rsidRDefault="00044F81" w:rsidP="003A6504">
            <w:pPr>
              <w:rPr>
                <w:rFonts w:cs="Arial"/>
              </w:rPr>
            </w:pPr>
            <w:r w:rsidRPr="00D50FD4">
              <w:rPr>
                <w:rFonts w:cs="Arial"/>
              </w:rPr>
              <w:t>1. That the City Council encourages landlords and agents offer longer term tenancies and rent level guarantees, and explores the option of including these as discretionary criteria within the Landlord Accreditation Scheme.</w:t>
            </w:r>
          </w:p>
        </w:tc>
        <w:tc>
          <w:tcPr>
            <w:tcW w:w="992" w:type="dxa"/>
            <w:shd w:val="clear" w:color="auto" w:fill="auto"/>
          </w:tcPr>
          <w:p w:rsidR="00044F81" w:rsidRPr="00D50FD4" w:rsidRDefault="00044F81" w:rsidP="003A6504">
            <w:pPr>
              <w:rPr>
                <w:rFonts w:cs="Arial"/>
              </w:rPr>
            </w:pPr>
            <w:r>
              <w:rPr>
                <w:rFonts w:cs="Arial"/>
              </w:rPr>
              <w:t>Y</w:t>
            </w:r>
          </w:p>
        </w:tc>
        <w:tc>
          <w:tcPr>
            <w:tcW w:w="5103" w:type="dxa"/>
            <w:shd w:val="clear" w:color="auto" w:fill="auto"/>
          </w:tcPr>
          <w:p w:rsidR="00044F81" w:rsidRPr="00D50FD4" w:rsidRDefault="00044F81" w:rsidP="003A6504">
            <w:pPr>
              <w:rPr>
                <w:rFonts w:cs="Arial"/>
              </w:rPr>
            </w:pPr>
            <w:r>
              <w:rPr>
                <w:rFonts w:cs="Arial"/>
              </w:rPr>
              <w:t>The Council will endeavour to encourage landlords and agents to offer longer tenancies and affordable market rents wherever possible and investigate the option of including this as a desirable element of accreditation in consultation with landlords and agents at the next Landlord Information Exchange event planned for December 2015.</w:t>
            </w:r>
          </w:p>
        </w:tc>
        <w:tc>
          <w:tcPr>
            <w:tcW w:w="1701" w:type="dxa"/>
            <w:gridSpan w:val="2"/>
          </w:tcPr>
          <w:p w:rsidR="00044F81" w:rsidRPr="003E7E28" w:rsidRDefault="00417C2D" w:rsidP="003A6504">
            <w:pPr>
              <w:rPr>
                <w:rFonts w:cs="Arial"/>
              </w:rPr>
            </w:pPr>
            <w:r>
              <w:rPr>
                <w:rFonts w:cs="Arial"/>
              </w:rPr>
              <w:t>Cllr Turner &amp; Ian Wright</w:t>
            </w:r>
          </w:p>
        </w:tc>
        <w:tc>
          <w:tcPr>
            <w:tcW w:w="1418" w:type="dxa"/>
          </w:tcPr>
          <w:p w:rsidR="00044F81" w:rsidRPr="003E7E28" w:rsidRDefault="00417C2D" w:rsidP="003A6504">
            <w:pPr>
              <w:rPr>
                <w:rFonts w:cs="Arial"/>
              </w:rPr>
            </w:pPr>
            <w:r>
              <w:rPr>
                <w:rFonts w:cs="Arial"/>
              </w:rPr>
              <w:t>April 2016</w:t>
            </w:r>
          </w:p>
        </w:tc>
      </w:tr>
      <w:tr w:rsidR="00044F81" w:rsidRPr="003E7E28" w:rsidTr="00C63D2C">
        <w:tc>
          <w:tcPr>
            <w:tcW w:w="4678" w:type="dxa"/>
            <w:shd w:val="clear" w:color="auto" w:fill="auto"/>
          </w:tcPr>
          <w:p w:rsidR="00044F81" w:rsidRPr="00D50FD4" w:rsidRDefault="00044F81" w:rsidP="003A6504">
            <w:pPr>
              <w:rPr>
                <w:rFonts w:cs="Arial"/>
              </w:rPr>
            </w:pPr>
            <w:r>
              <w:rPr>
                <w:rFonts w:cs="Arial"/>
              </w:rPr>
              <w:t>2.</w:t>
            </w:r>
            <w:r w:rsidRPr="00D50FD4">
              <w:rPr>
                <w:rFonts w:cs="Arial"/>
              </w:rPr>
              <w:t xml:space="preserve"> That the City Council considers whether there is anything that can be done to address the inequity whereby many tenants living in HMOs are unable to access free bulky waste collections.</w:t>
            </w:r>
          </w:p>
        </w:tc>
        <w:tc>
          <w:tcPr>
            <w:tcW w:w="992" w:type="dxa"/>
            <w:shd w:val="clear" w:color="auto" w:fill="auto"/>
          </w:tcPr>
          <w:p w:rsidR="00044F81" w:rsidRPr="00D50FD4" w:rsidRDefault="00044F81" w:rsidP="003A6504">
            <w:pPr>
              <w:rPr>
                <w:rFonts w:cs="Arial"/>
              </w:rPr>
            </w:pPr>
            <w:r>
              <w:rPr>
                <w:rFonts w:cs="Arial"/>
              </w:rPr>
              <w:t>Y</w:t>
            </w:r>
          </w:p>
        </w:tc>
        <w:tc>
          <w:tcPr>
            <w:tcW w:w="5103" w:type="dxa"/>
            <w:shd w:val="clear" w:color="auto" w:fill="auto"/>
          </w:tcPr>
          <w:p w:rsidR="00044F81" w:rsidRPr="00D50FD4" w:rsidRDefault="00044F81" w:rsidP="003A6504">
            <w:pPr>
              <w:rPr>
                <w:rFonts w:cs="Arial"/>
              </w:rPr>
            </w:pPr>
            <w:r>
              <w:rPr>
                <w:rFonts w:cs="Arial"/>
              </w:rPr>
              <w:t>Officers will investigate the potential to increase the number of free bulky items collections for tenants living in HMOs and if feasible will report back to CEB at a future meeting.</w:t>
            </w:r>
          </w:p>
        </w:tc>
        <w:tc>
          <w:tcPr>
            <w:tcW w:w="1701" w:type="dxa"/>
            <w:gridSpan w:val="2"/>
          </w:tcPr>
          <w:p w:rsidR="00044F81" w:rsidRPr="003E7E28" w:rsidRDefault="00417C2D" w:rsidP="003A6504">
            <w:pPr>
              <w:rPr>
                <w:rFonts w:cs="Arial"/>
              </w:rPr>
            </w:pPr>
            <w:r w:rsidRPr="00417C2D">
              <w:rPr>
                <w:rFonts w:cs="Arial"/>
              </w:rPr>
              <w:t>Cllr Turner &amp; Ian Wright</w:t>
            </w:r>
          </w:p>
        </w:tc>
        <w:tc>
          <w:tcPr>
            <w:tcW w:w="1418" w:type="dxa"/>
          </w:tcPr>
          <w:p w:rsidR="00044F81" w:rsidRPr="003E7E28" w:rsidRDefault="00417C2D" w:rsidP="003A6504">
            <w:pPr>
              <w:rPr>
                <w:rFonts w:cs="Arial"/>
              </w:rPr>
            </w:pPr>
            <w:r>
              <w:rPr>
                <w:rFonts w:cs="Arial"/>
              </w:rPr>
              <w:t>April 2016</w:t>
            </w:r>
          </w:p>
        </w:tc>
      </w:tr>
      <w:tr w:rsidR="00417C2D" w:rsidRPr="003E7E28" w:rsidTr="00B85A5C">
        <w:trPr>
          <w:trHeight w:val="197"/>
        </w:trPr>
        <w:tc>
          <w:tcPr>
            <w:tcW w:w="13892" w:type="dxa"/>
            <w:gridSpan w:val="6"/>
            <w:shd w:val="clear" w:color="auto" w:fill="D9D9D9" w:themeFill="background1" w:themeFillShade="D9"/>
          </w:tcPr>
          <w:p w:rsidR="00417C2D" w:rsidRPr="004D284C" w:rsidRDefault="00417C2D" w:rsidP="004D284C">
            <w:pPr>
              <w:rPr>
                <w:rFonts w:cs="Arial"/>
                <w:b/>
              </w:rPr>
            </w:pPr>
            <w:r>
              <w:rPr>
                <w:rFonts w:cs="Arial"/>
                <w:b/>
              </w:rPr>
              <w:t>Proposed Lease and Monitoring Arrangements for Community Centres – 6</w:t>
            </w:r>
            <w:r w:rsidRPr="00044F81">
              <w:rPr>
                <w:rFonts w:cs="Arial"/>
                <w:b/>
                <w:vertAlign w:val="superscript"/>
              </w:rPr>
              <w:t>th</w:t>
            </w:r>
            <w:r>
              <w:rPr>
                <w:rFonts w:cs="Arial"/>
                <w:b/>
              </w:rPr>
              <w:t xml:space="preserve"> October Scrutiny Committee 2015 </w:t>
            </w:r>
          </w:p>
        </w:tc>
      </w:tr>
      <w:tr w:rsidR="00417C2D" w:rsidRPr="003E7E28" w:rsidTr="00B85A5C">
        <w:tc>
          <w:tcPr>
            <w:tcW w:w="4678" w:type="dxa"/>
            <w:shd w:val="clear" w:color="auto" w:fill="auto"/>
            <w:vAlign w:val="center"/>
          </w:tcPr>
          <w:p w:rsidR="00417C2D" w:rsidRPr="003E7E28" w:rsidRDefault="00417C2D" w:rsidP="00B85A5C">
            <w:pPr>
              <w:rPr>
                <w:rFonts w:cs="Arial"/>
                <w:b/>
              </w:rPr>
            </w:pPr>
            <w:r w:rsidRPr="003E7E28">
              <w:rPr>
                <w:rFonts w:cs="Arial"/>
                <w:b/>
              </w:rPr>
              <w:t>Recommendation</w:t>
            </w:r>
          </w:p>
        </w:tc>
        <w:tc>
          <w:tcPr>
            <w:tcW w:w="992" w:type="dxa"/>
            <w:shd w:val="clear" w:color="auto" w:fill="auto"/>
            <w:vAlign w:val="center"/>
          </w:tcPr>
          <w:p w:rsidR="00417C2D" w:rsidRPr="003E7E28" w:rsidRDefault="00417C2D" w:rsidP="00B85A5C">
            <w:pPr>
              <w:rPr>
                <w:rFonts w:cs="Arial"/>
                <w:b/>
              </w:rPr>
            </w:pPr>
            <w:r w:rsidRPr="003E7E28">
              <w:rPr>
                <w:rFonts w:cs="Arial"/>
                <w:b/>
              </w:rPr>
              <w:t>Agreed Y/N</w:t>
            </w:r>
          </w:p>
        </w:tc>
        <w:tc>
          <w:tcPr>
            <w:tcW w:w="5103" w:type="dxa"/>
            <w:shd w:val="clear" w:color="auto" w:fill="auto"/>
            <w:vAlign w:val="center"/>
          </w:tcPr>
          <w:p w:rsidR="00417C2D" w:rsidRPr="003E7E28" w:rsidRDefault="00417C2D" w:rsidP="00B85A5C">
            <w:pPr>
              <w:rPr>
                <w:rFonts w:cs="Arial"/>
                <w:b/>
              </w:rPr>
            </w:pPr>
            <w:r w:rsidRPr="003E7E28">
              <w:rPr>
                <w:rFonts w:cs="Arial"/>
                <w:b/>
              </w:rPr>
              <w:t>Executive response</w:t>
            </w:r>
          </w:p>
        </w:tc>
        <w:tc>
          <w:tcPr>
            <w:tcW w:w="1559" w:type="dxa"/>
            <w:vAlign w:val="center"/>
          </w:tcPr>
          <w:p w:rsidR="00417C2D" w:rsidRPr="003E7E28" w:rsidRDefault="00417C2D" w:rsidP="00B85A5C">
            <w:pPr>
              <w:rPr>
                <w:rFonts w:cs="Arial"/>
                <w:b/>
              </w:rPr>
            </w:pPr>
            <w:r w:rsidRPr="003E7E28">
              <w:rPr>
                <w:rFonts w:cs="Arial"/>
                <w:b/>
              </w:rPr>
              <w:t xml:space="preserve">Member &amp; Officer </w:t>
            </w:r>
          </w:p>
        </w:tc>
        <w:tc>
          <w:tcPr>
            <w:tcW w:w="1560" w:type="dxa"/>
            <w:gridSpan w:val="2"/>
            <w:vAlign w:val="center"/>
          </w:tcPr>
          <w:p w:rsidR="00417C2D" w:rsidRPr="003E7E28" w:rsidRDefault="00712970" w:rsidP="00B85A5C">
            <w:pPr>
              <w:rPr>
                <w:rFonts w:cs="Arial"/>
                <w:b/>
              </w:rPr>
            </w:pPr>
            <w:r>
              <w:rPr>
                <w:rFonts w:cs="Arial"/>
                <w:b/>
              </w:rPr>
              <w:t>D</w:t>
            </w:r>
            <w:r w:rsidR="00417C2D" w:rsidRPr="003E7E28">
              <w:rPr>
                <w:rFonts w:cs="Arial"/>
                <w:b/>
              </w:rPr>
              <w:t>ue date</w:t>
            </w:r>
          </w:p>
        </w:tc>
      </w:tr>
      <w:tr w:rsidR="00417C2D" w:rsidRPr="003E7E28" w:rsidTr="00B85A5C">
        <w:tc>
          <w:tcPr>
            <w:tcW w:w="4678" w:type="dxa"/>
            <w:shd w:val="clear" w:color="auto" w:fill="auto"/>
          </w:tcPr>
          <w:p w:rsidR="00417C2D" w:rsidRPr="00AC577F" w:rsidRDefault="00417C2D" w:rsidP="00B85A5C">
            <w:pPr>
              <w:rPr>
                <w:rFonts w:cs="Arial"/>
              </w:rPr>
            </w:pPr>
            <w:r>
              <w:rPr>
                <w:rFonts w:cs="Arial"/>
              </w:rPr>
              <w:lastRenderedPageBreak/>
              <w:t>2.</w:t>
            </w:r>
            <w:r w:rsidRPr="00F75E75">
              <w:rPr>
                <w:rFonts w:cs="Arial"/>
              </w:rPr>
              <w:t xml:space="preserve"> That the City Council should develop a “code of conduct” that sets out the expectations on Community Centre Associations and the types of support Associations can expect from the City Council.  This code of conduct should be linked to the lease and monitoring arrangements for community centres.</w:t>
            </w:r>
          </w:p>
        </w:tc>
        <w:tc>
          <w:tcPr>
            <w:tcW w:w="992" w:type="dxa"/>
            <w:shd w:val="clear" w:color="auto" w:fill="auto"/>
          </w:tcPr>
          <w:p w:rsidR="00417C2D" w:rsidRPr="004D284C" w:rsidRDefault="00417C2D" w:rsidP="00B85A5C">
            <w:pPr>
              <w:rPr>
                <w:rFonts w:cs="Arial"/>
              </w:rPr>
            </w:pPr>
            <w:r w:rsidRPr="004D284C">
              <w:rPr>
                <w:rFonts w:cs="Arial"/>
              </w:rPr>
              <w:t>In part</w:t>
            </w:r>
          </w:p>
        </w:tc>
        <w:tc>
          <w:tcPr>
            <w:tcW w:w="5103" w:type="dxa"/>
            <w:shd w:val="clear" w:color="auto" w:fill="auto"/>
          </w:tcPr>
          <w:p w:rsidR="00417C2D" w:rsidRPr="000423EF" w:rsidRDefault="00417C2D" w:rsidP="00B85A5C">
            <w:pPr>
              <w:rPr>
                <w:rFonts w:cs="Arial"/>
              </w:rPr>
            </w:pPr>
            <w:r w:rsidRPr="00E30EBE">
              <w:rPr>
                <w:rFonts w:cs="Arial"/>
              </w:rPr>
              <w:t>Many community associations will have their own Code of Conduct; this suggestion can be explo</w:t>
            </w:r>
            <w:r>
              <w:rPr>
                <w:rFonts w:cs="Arial"/>
              </w:rPr>
              <w:t>red with community associations</w:t>
            </w:r>
            <w:r w:rsidRPr="00E30EBE">
              <w:rPr>
                <w:rFonts w:cs="Arial"/>
              </w:rPr>
              <w:t>, either individually or through the Federation.</w:t>
            </w:r>
          </w:p>
        </w:tc>
        <w:tc>
          <w:tcPr>
            <w:tcW w:w="1559" w:type="dxa"/>
          </w:tcPr>
          <w:p w:rsidR="00417C2D" w:rsidRPr="003E7E28" w:rsidRDefault="004D284C" w:rsidP="00B85A5C">
            <w:pPr>
              <w:rPr>
                <w:rFonts w:cs="Arial"/>
              </w:rPr>
            </w:pPr>
            <w:r w:rsidRPr="004D284C">
              <w:rPr>
                <w:rFonts w:cs="Arial"/>
              </w:rPr>
              <w:t xml:space="preserve">Cllr </w:t>
            </w:r>
            <w:proofErr w:type="spellStart"/>
            <w:r w:rsidRPr="004D284C">
              <w:rPr>
                <w:rFonts w:cs="Arial"/>
              </w:rPr>
              <w:t>Simm</w:t>
            </w:r>
            <w:proofErr w:type="spellEnd"/>
            <w:r w:rsidRPr="004D284C">
              <w:rPr>
                <w:rFonts w:cs="Arial"/>
              </w:rPr>
              <w:t xml:space="preserve"> &amp; Ian Brooke</w:t>
            </w:r>
          </w:p>
        </w:tc>
        <w:tc>
          <w:tcPr>
            <w:tcW w:w="1560" w:type="dxa"/>
            <w:gridSpan w:val="2"/>
          </w:tcPr>
          <w:p w:rsidR="00417C2D" w:rsidRPr="003E7E28" w:rsidRDefault="004D284C" w:rsidP="00B85A5C">
            <w:pPr>
              <w:rPr>
                <w:rFonts w:cs="Arial"/>
              </w:rPr>
            </w:pPr>
            <w:r>
              <w:rPr>
                <w:rFonts w:cs="Arial"/>
              </w:rPr>
              <w:t>April 2016</w:t>
            </w:r>
          </w:p>
        </w:tc>
      </w:tr>
      <w:tr w:rsidR="00417C2D" w:rsidRPr="003E7E28" w:rsidTr="00B85A5C">
        <w:tc>
          <w:tcPr>
            <w:tcW w:w="4678" w:type="dxa"/>
            <w:shd w:val="clear" w:color="auto" w:fill="auto"/>
          </w:tcPr>
          <w:p w:rsidR="00417C2D" w:rsidRPr="00AC577F" w:rsidRDefault="00417C2D" w:rsidP="00B85A5C">
            <w:pPr>
              <w:rPr>
                <w:rFonts w:cs="Arial"/>
              </w:rPr>
            </w:pPr>
            <w:r>
              <w:rPr>
                <w:rFonts w:cs="Arial"/>
              </w:rPr>
              <w:t>4.</w:t>
            </w:r>
            <w:r w:rsidRPr="00F75E75">
              <w:rPr>
                <w:rFonts w:cs="Arial"/>
              </w:rPr>
              <w:t xml:space="preserve"> That City Executive Board should make arrangements for independent legal advice to be available to Community Centre Associations.</w:t>
            </w:r>
          </w:p>
        </w:tc>
        <w:tc>
          <w:tcPr>
            <w:tcW w:w="992" w:type="dxa"/>
            <w:shd w:val="clear" w:color="auto" w:fill="auto"/>
          </w:tcPr>
          <w:p w:rsidR="00417C2D" w:rsidRPr="004D284C" w:rsidRDefault="00417C2D" w:rsidP="00B85A5C">
            <w:pPr>
              <w:rPr>
                <w:rFonts w:cs="Arial"/>
              </w:rPr>
            </w:pPr>
            <w:r w:rsidRPr="004D284C">
              <w:rPr>
                <w:rFonts w:cs="Arial"/>
              </w:rPr>
              <w:t>Agreed</w:t>
            </w:r>
          </w:p>
        </w:tc>
        <w:tc>
          <w:tcPr>
            <w:tcW w:w="5103" w:type="dxa"/>
            <w:shd w:val="clear" w:color="auto" w:fill="auto"/>
          </w:tcPr>
          <w:p w:rsidR="00417C2D" w:rsidRPr="000423EF" w:rsidRDefault="00417C2D" w:rsidP="00B85A5C">
            <w:pPr>
              <w:rPr>
                <w:rFonts w:cs="Arial"/>
              </w:rPr>
            </w:pPr>
            <w:r w:rsidRPr="00E30EBE">
              <w:rPr>
                <w:rFonts w:cs="Arial"/>
              </w:rPr>
              <w:t>For those CAs moving from a licence to a lease, we will consider this during the period of discussion and negotiation. As there are areas of commonality in this process we can consider who would be the best source of advice of the CAs, for example, Community Matters</w:t>
            </w:r>
            <w:r>
              <w:rPr>
                <w:rFonts w:cs="Arial"/>
              </w:rPr>
              <w:t xml:space="preserve">.  </w:t>
            </w:r>
            <w:r w:rsidRPr="00E30EBE">
              <w:rPr>
                <w:rFonts w:cs="Arial"/>
              </w:rPr>
              <w:t>Associations with expired leases are being offered financial assistance towards seeking legal advice.</w:t>
            </w:r>
          </w:p>
        </w:tc>
        <w:tc>
          <w:tcPr>
            <w:tcW w:w="1559" w:type="dxa"/>
          </w:tcPr>
          <w:p w:rsidR="00417C2D" w:rsidRPr="003E7E28" w:rsidRDefault="004D284C" w:rsidP="00B85A5C">
            <w:pPr>
              <w:rPr>
                <w:rFonts w:cs="Arial"/>
              </w:rPr>
            </w:pPr>
            <w:r w:rsidRPr="004D284C">
              <w:rPr>
                <w:rFonts w:cs="Arial"/>
              </w:rPr>
              <w:t xml:space="preserve">Cllr </w:t>
            </w:r>
            <w:proofErr w:type="spellStart"/>
            <w:r w:rsidRPr="004D284C">
              <w:rPr>
                <w:rFonts w:cs="Arial"/>
              </w:rPr>
              <w:t>Simm</w:t>
            </w:r>
            <w:proofErr w:type="spellEnd"/>
            <w:r w:rsidRPr="004D284C">
              <w:rPr>
                <w:rFonts w:cs="Arial"/>
              </w:rPr>
              <w:t xml:space="preserve"> &amp; Ian Brooke</w:t>
            </w:r>
          </w:p>
        </w:tc>
        <w:tc>
          <w:tcPr>
            <w:tcW w:w="1560" w:type="dxa"/>
            <w:gridSpan w:val="2"/>
          </w:tcPr>
          <w:p w:rsidR="00417C2D" w:rsidRPr="003E7E28" w:rsidRDefault="004D284C" w:rsidP="00B85A5C">
            <w:pPr>
              <w:rPr>
                <w:rFonts w:cs="Arial"/>
              </w:rPr>
            </w:pPr>
            <w:r>
              <w:rPr>
                <w:rFonts w:cs="Arial"/>
              </w:rPr>
              <w:t>April 2016</w:t>
            </w:r>
          </w:p>
        </w:tc>
      </w:tr>
      <w:tr w:rsidR="00D23053" w:rsidRPr="003E7E28" w:rsidTr="004D284C">
        <w:trPr>
          <w:trHeight w:val="331"/>
        </w:trPr>
        <w:tc>
          <w:tcPr>
            <w:tcW w:w="13892" w:type="dxa"/>
            <w:gridSpan w:val="6"/>
            <w:shd w:val="clear" w:color="auto" w:fill="D9D9D9" w:themeFill="background1" w:themeFillShade="D9"/>
          </w:tcPr>
          <w:p w:rsidR="00512CAF" w:rsidRPr="003E7E28" w:rsidRDefault="00512CAF" w:rsidP="004D284C">
            <w:pPr>
              <w:spacing w:line="360" w:lineRule="auto"/>
              <w:rPr>
                <w:rFonts w:cs="Arial"/>
                <w:b/>
                <w:color w:val="A6A6A6" w:themeColor="background1" w:themeShade="A6"/>
              </w:rPr>
            </w:pPr>
            <w:r w:rsidRPr="003E7E28">
              <w:rPr>
                <w:rFonts w:cs="Arial"/>
                <w:b/>
              </w:rPr>
              <w:t>Leisure and Wellbeing Strategy – Scrutiny Committee 7 Septembe</w:t>
            </w:r>
            <w:r w:rsidR="004D284C">
              <w:rPr>
                <w:rFonts w:cs="Arial"/>
                <w:b/>
              </w:rPr>
              <w:t>r</w:t>
            </w:r>
          </w:p>
        </w:tc>
      </w:tr>
      <w:tr w:rsidR="00D23053" w:rsidRPr="003E7E28" w:rsidTr="00F30829">
        <w:tc>
          <w:tcPr>
            <w:tcW w:w="4678" w:type="dxa"/>
            <w:shd w:val="clear" w:color="auto" w:fill="auto"/>
            <w:vAlign w:val="center"/>
          </w:tcPr>
          <w:p w:rsidR="00D23053" w:rsidRPr="003E7E28" w:rsidRDefault="00D23053" w:rsidP="00623DA4">
            <w:pPr>
              <w:rPr>
                <w:rFonts w:cs="Arial"/>
                <w:b/>
              </w:rPr>
            </w:pPr>
            <w:r w:rsidRPr="003E7E28">
              <w:rPr>
                <w:rFonts w:cs="Arial"/>
                <w:b/>
              </w:rPr>
              <w:t>Recommendation</w:t>
            </w:r>
          </w:p>
        </w:tc>
        <w:tc>
          <w:tcPr>
            <w:tcW w:w="992" w:type="dxa"/>
            <w:shd w:val="clear" w:color="auto" w:fill="auto"/>
            <w:vAlign w:val="center"/>
          </w:tcPr>
          <w:p w:rsidR="00D23053" w:rsidRPr="003E7E28" w:rsidRDefault="00D23053" w:rsidP="00623DA4">
            <w:pPr>
              <w:rPr>
                <w:rFonts w:cs="Arial"/>
                <w:b/>
              </w:rPr>
            </w:pPr>
            <w:r w:rsidRPr="003E7E28">
              <w:rPr>
                <w:rFonts w:cs="Arial"/>
                <w:b/>
              </w:rPr>
              <w:t>Agreed Y/N</w:t>
            </w:r>
          </w:p>
        </w:tc>
        <w:tc>
          <w:tcPr>
            <w:tcW w:w="5103" w:type="dxa"/>
            <w:shd w:val="clear" w:color="auto" w:fill="auto"/>
            <w:vAlign w:val="center"/>
          </w:tcPr>
          <w:p w:rsidR="00D23053" w:rsidRPr="003E7E28" w:rsidRDefault="00D23053" w:rsidP="00623DA4">
            <w:pPr>
              <w:rPr>
                <w:rFonts w:cs="Arial"/>
                <w:b/>
              </w:rPr>
            </w:pPr>
            <w:r w:rsidRPr="003E7E28">
              <w:rPr>
                <w:rFonts w:cs="Arial"/>
                <w:b/>
              </w:rPr>
              <w:t>Executive response</w:t>
            </w:r>
          </w:p>
        </w:tc>
        <w:tc>
          <w:tcPr>
            <w:tcW w:w="1559" w:type="dxa"/>
            <w:vAlign w:val="center"/>
          </w:tcPr>
          <w:p w:rsidR="00D23053" w:rsidRPr="003E7E28" w:rsidRDefault="00D23053" w:rsidP="00623DA4">
            <w:pPr>
              <w:rPr>
                <w:rFonts w:cs="Arial"/>
                <w:b/>
              </w:rPr>
            </w:pPr>
            <w:r w:rsidRPr="003E7E28">
              <w:rPr>
                <w:rFonts w:cs="Arial"/>
                <w:b/>
              </w:rPr>
              <w:t xml:space="preserve">Member &amp; Officer </w:t>
            </w:r>
          </w:p>
        </w:tc>
        <w:tc>
          <w:tcPr>
            <w:tcW w:w="1560" w:type="dxa"/>
            <w:gridSpan w:val="2"/>
            <w:vAlign w:val="center"/>
          </w:tcPr>
          <w:p w:rsidR="00D23053" w:rsidRPr="003E7E28" w:rsidRDefault="00712970" w:rsidP="00623DA4">
            <w:pPr>
              <w:rPr>
                <w:rFonts w:cs="Arial"/>
                <w:b/>
              </w:rPr>
            </w:pPr>
            <w:r>
              <w:rPr>
                <w:rFonts w:cs="Arial"/>
                <w:b/>
              </w:rPr>
              <w:t>D</w:t>
            </w:r>
            <w:r w:rsidR="00D23053" w:rsidRPr="003E7E28">
              <w:rPr>
                <w:rFonts w:cs="Arial"/>
                <w:b/>
              </w:rPr>
              <w:t>ue date</w:t>
            </w:r>
          </w:p>
        </w:tc>
      </w:tr>
      <w:tr w:rsidR="00D23053" w:rsidRPr="003E7E28" w:rsidTr="00F30829">
        <w:tc>
          <w:tcPr>
            <w:tcW w:w="4678" w:type="dxa"/>
            <w:shd w:val="clear" w:color="auto" w:fill="auto"/>
            <w:vAlign w:val="center"/>
          </w:tcPr>
          <w:p w:rsidR="00D23053" w:rsidRPr="003E7E28" w:rsidRDefault="00C63D2C" w:rsidP="00623DA4">
            <w:pPr>
              <w:rPr>
                <w:rFonts w:cs="Arial"/>
                <w:b/>
              </w:rPr>
            </w:pPr>
            <w:r>
              <w:rPr>
                <w:rFonts w:cs="Arial"/>
              </w:rPr>
              <w:t xml:space="preserve">1. </w:t>
            </w:r>
            <w:r w:rsidR="00D23053" w:rsidRPr="003E7E28">
              <w:rPr>
                <w:rFonts w:cs="Arial"/>
              </w:rPr>
              <w:t>That the City Council looks into extending the functionality of its mobile apps to enable leisure bookings.</w:t>
            </w:r>
          </w:p>
        </w:tc>
        <w:tc>
          <w:tcPr>
            <w:tcW w:w="992" w:type="dxa"/>
            <w:shd w:val="clear" w:color="auto" w:fill="auto"/>
          </w:tcPr>
          <w:p w:rsidR="00D23053" w:rsidRPr="003E7E28" w:rsidRDefault="00D23053" w:rsidP="00F30829">
            <w:pPr>
              <w:rPr>
                <w:rFonts w:cs="Arial"/>
              </w:rPr>
            </w:pPr>
            <w:r w:rsidRPr="003E7E28">
              <w:rPr>
                <w:rFonts w:cs="Arial"/>
              </w:rPr>
              <w:t>Agreed</w:t>
            </w:r>
          </w:p>
        </w:tc>
        <w:tc>
          <w:tcPr>
            <w:tcW w:w="5103" w:type="dxa"/>
            <w:shd w:val="clear" w:color="auto" w:fill="auto"/>
          </w:tcPr>
          <w:p w:rsidR="00D23053" w:rsidRPr="003E7E28" w:rsidRDefault="00D23053" w:rsidP="00933FB7">
            <w:pPr>
              <w:rPr>
                <w:rFonts w:cs="Arial"/>
                <w:b/>
              </w:rPr>
            </w:pPr>
            <w:r w:rsidRPr="003E7E28">
              <w:rPr>
                <w:rFonts w:cs="Arial"/>
              </w:rPr>
              <w:t>We will look into this in conjunction with Fusion.</w:t>
            </w:r>
          </w:p>
        </w:tc>
        <w:tc>
          <w:tcPr>
            <w:tcW w:w="1559" w:type="dxa"/>
          </w:tcPr>
          <w:p w:rsidR="00D23053" w:rsidRPr="003E7E28" w:rsidRDefault="00933FB7" w:rsidP="00933FB7">
            <w:pPr>
              <w:rPr>
                <w:rFonts w:cs="Arial"/>
              </w:rPr>
            </w:pPr>
            <w:r w:rsidRPr="003E7E28">
              <w:rPr>
                <w:rFonts w:cs="Arial"/>
              </w:rPr>
              <w:t>Cllr Rowley &amp; Ian Brooke</w:t>
            </w:r>
          </w:p>
        </w:tc>
        <w:tc>
          <w:tcPr>
            <w:tcW w:w="1560" w:type="dxa"/>
            <w:gridSpan w:val="2"/>
          </w:tcPr>
          <w:p w:rsidR="00D23053" w:rsidRPr="003E7E28" w:rsidRDefault="00933FB7" w:rsidP="00933FB7">
            <w:pPr>
              <w:rPr>
                <w:rFonts w:cs="Arial"/>
              </w:rPr>
            </w:pPr>
            <w:r w:rsidRPr="003E7E28">
              <w:rPr>
                <w:rFonts w:cs="Arial"/>
              </w:rPr>
              <w:t>March 2016</w:t>
            </w:r>
          </w:p>
        </w:tc>
      </w:tr>
      <w:tr w:rsidR="00D23053" w:rsidRPr="003E7E28" w:rsidTr="00DA4198">
        <w:trPr>
          <w:trHeight w:val="369"/>
        </w:trPr>
        <w:tc>
          <w:tcPr>
            <w:tcW w:w="13892" w:type="dxa"/>
            <w:gridSpan w:val="6"/>
            <w:tcBorders>
              <w:bottom w:val="single" w:sz="4" w:space="0" w:color="auto"/>
            </w:tcBorders>
            <w:shd w:val="clear" w:color="auto" w:fill="D9D9D9" w:themeFill="background1" w:themeFillShade="D9"/>
            <w:vAlign w:val="center"/>
          </w:tcPr>
          <w:p w:rsidR="00D23053" w:rsidRPr="003E7E28" w:rsidRDefault="00D23053" w:rsidP="00512CAF">
            <w:pPr>
              <w:spacing w:line="360" w:lineRule="auto"/>
              <w:rPr>
                <w:b/>
              </w:rPr>
            </w:pPr>
            <w:r w:rsidRPr="003E7E28">
              <w:rPr>
                <w:b/>
              </w:rPr>
              <w:t>Oxford Growth Strategy – Scrutiny Committee 7 September</w:t>
            </w:r>
          </w:p>
        </w:tc>
      </w:tr>
      <w:tr w:rsidR="00D23053" w:rsidRPr="003E7E28" w:rsidTr="00DA4198">
        <w:tc>
          <w:tcPr>
            <w:tcW w:w="4678" w:type="dxa"/>
            <w:tcBorders>
              <w:top w:val="single" w:sz="4" w:space="0" w:color="auto"/>
            </w:tcBorders>
            <w:shd w:val="clear" w:color="auto" w:fill="auto"/>
            <w:vAlign w:val="center"/>
          </w:tcPr>
          <w:p w:rsidR="00D23053" w:rsidRPr="003E7E28" w:rsidRDefault="00D23053" w:rsidP="00623DA4">
            <w:pPr>
              <w:rPr>
                <w:rFonts w:cs="Arial"/>
                <w:b/>
              </w:rPr>
            </w:pPr>
            <w:r w:rsidRPr="003E7E28">
              <w:rPr>
                <w:rFonts w:cs="Arial"/>
                <w:b/>
              </w:rPr>
              <w:t>Recommendation</w:t>
            </w:r>
          </w:p>
        </w:tc>
        <w:tc>
          <w:tcPr>
            <w:tcW w:w="992" w:type="dxa"/>
            <w:tcBorders>
              <w:top w:val="single" w:sz="4" w:space="0" w:color="auto"/>
            </w:tcBorders>
            <w:shd w:val="clear" w:color="auto" w:fill="auto"/>
            <w:vAlign w:val="center"/>
          </w:tcPr>
          <w:p w:rsidR="00D23053" w:rsidRPr="003E7E28" w:rsidRDefault="00D23053" w:rsidP="00623DA4">
            <w:pPr>
              <w:rPr>
                <w:rFonts w:cs="Arial"/>
                <w:b/>
              </w:rPr>
            </w:pPr>
            <w:r w:rsidRPr="003E7E28">
              <w:rPr>
                <w:rFonts w:cs="Arial"/>
                <w:b/>
              </w:rPr>
              <w:t>Agreed Y/N</w:t>
            </w:r>
          </w:p>
        </w:tc>
        <w:tc>
          <w:tcPr>
            <w:tcW w:w="5103" w:type="dxa"/>
            <w:tcBorders>
              <w:top w:val="single" w:sz="4" w:space="0" w:color="auto"/>
            </w:tcBorders>
            <w:shd w:val="clear" w:color="auto" w:fill="auto"/>
            <w:vAlign w:val="center"/>
          </w:tcPr>
          <w:p w:rsidR="00D23053" w:rsidRPr="003E7E28" w:rsidRDefault="00D23053" w:rsidP="00623DA4">
            <w:pPr>
              <w:rPr>
                <w:rFonts w:cs="Arial"/>
                <w:b/>
              </w:rPr>
            </w:pPr>
            <w:r w:rsidRPr="003E7E28">
              <w:rPr>
                <w:rFonts w:cs="Arial"/>
                <w:b/>
              </w:rPr>
              <w:t>Executive response</w:t>
            </w:r>
          </w:p>
        </w:tc>
        <w:tc>
          <w:tcPr>
            <w:tcW w:w="1559" w:type="dxa"/>
            <w:tcBorders>
              <w:top w:val="single" w:sz="4" w:space="0" w:color="auto"/>
            </w:tcBorders>
            <w:vAlign w:val="center"/>
          </w:tcPr>
          <w:p w:rsidR="00D23053" w:rsidRPr="003E7E28" w:rsidRDefault="00D23053" w:rsidP="00623DA4">
            <w:pPr>
              <w:rPr>
                <w:rFonts w:cs="Arial"/>
                <w:b/>
              </w:rPr>
            </w:pPr>
            <w:r w:rsidRPr="003E7E28">
              <w:rPr>
                <w:rFonts w:cs="Arial"/>
                <w:b/>
              </w:rPr>
              <w:t xml:space="preserve">Member &amp; Officer </w:t>
            </w:r>
          </w:p>
        </w:tc>
        <w:tc>
          <w:tcPr>
            <w:tcW w:w="1560" w:type="dxa"/>
            <w:gridSpan w:val="2"/>
            <w:tcBorders>
              <w:top w:val="single" w:sz="4" w:space="0" w:color="auto"/>
            </w:tcBorders>
            <w:vAlign w:val="center"/>
          </w:tcPr>
          <w:p w:rsidR="00D23053" w:rsidRPr="003E7E28" w:rsidRDefault="00712970" w:rsidP="00623DA4">
            <w:pPr>
              <w:rPr>
                <w:rFonts w:cs="Arial"/>
                <w:b/>
              </w:rPr>
            </w:pPr>
            <w:r>
              <w:rPr>
                <w:rFonts w:cs="Arial"/>
                <w:b/>
              </w:rPr>
              <w:t>D</w:t>
            </w:r>
            <w:r w:rsidR="00D23053" w:rsidRPr="003E7E28">
              <w:rPr>
                <w:rFonts w:cs="Arial"/>
                <w:b/>
              </w:rPr>
              <w:t>ue date</w:t>
            </w:r>
          </w:p>
        </w:tc>
      </w:tr>
      <w:tr w:rsidR="00D23053" w:rsidRPr="003E7E28" w:rsidTr="00DA4198">
        <w:tc>
          <w:tcPr>
            <w:tcW w:w="4678" w:type="dxa"/>
            <w:shd w:val="clear" w:color="auto" w:fill="auto"/>
          </w:tcPr>
          <w:p w:rsidR="00D23053" w:rsidRPr="003E7E28" w:rsidRDefault="00D23053" w:rsidP="00933FB7">
            <w:pPr>
              <w:autoSpaceDE w:val="0"/>
              <w:autoSpaceDN w:val="0"/>
              <w:adjustRightInd w:val="0"/>
              <w:rPr>
                <w:rFonts w:cs="TT24Bo00"/>
              </w:rPr>
            </w:pPr>
            <w:r w:rsidRPr="003E7E28">
              <w:rPr>
                <w:rFonts w:cs="TT24Bo00"/>
              </w:rPr>
              <w:t>That the Council’s strategic approach to providing new affordable housing should be aligned with, and referenced in, the Oxford Growth Strategy.</w:t>
            </w:r>
          </w:p>
          <w:p w:rsidR="00D23053" w:rsidRPr="003E7E28" w:rsidRDefault="00D23053" w:rsidP="00933FB7">
            <w:pPr>
              <w:rPr>
                <w:rFonts w:cs="Arial"/>
                <w:b/>
              </w:rPr>
            </w:pPr>
          </w:p>
        </w:tc>
        <w:tc>
          <w:tcPr>
            <w:tcW w:w="992" w:type="dxa"/>
            <w:shd w:val="clear" w:color="auto" w:fill="auto"/>
          </w:tcPr>
          <w:p w:rsidR="00D23053" w:rsidRPr="003E7E28" w:rsidRDefault="00D23053" w:rsidP="00933FB7">
            <w:pPr>
              <w:rPr>
                <w:rFonts w:cs="Arial"/>
              </w:rPr>
            </w:pPr>
            <w:r w:rsidRPr="003E7E28">
              <w:rPr>
                <w:rFonts w:cs="Arial"/>
              </w:rPr>
              <w:t>Agreed</w:t>
            </w:r>
          </w:p>
        </w:tc>
        <w:tc>
          <w:tcPr>
            <w:tcW w:w="5103" w:type="dxa"/>
            <w:shd w:val="clear" w:color="auto" w:fill="auto"/>
          </w:tcPr>
          <w:p w:rsidR="00D23053" w:rsidRPr="003E7E28" w:rsidRDefault="00D23053" w:rsidP="00933FB7">
            <w:pPr>
              <w:autoSpaceDE w:val="0"/>
              <w:autoSpaceDN w:val="0"/>
              <w:adjustRightInd w:val="0"/>
              <w:rPr>
                <w:rFonts w:cs="TT24Bo00"/>
              </w:rPr>
            </w:pPr>
            <w:r w:rsidRPr="003E7E28">
              <w:rPr>
                <w:rFonts w:cs="TT24Bo00"/>
              </w:rPr>
              <w:t xml:space="preserve">It is important to note that the Oxford Growth Strategy is one of a range of documents which taken together outline Oxford City Council’s approach to meeting both overall housing need and affordable housing need, and that therefore the Oxford Growth Strategy implicitly includes affordable housing in its </w:t>
            </w:r>
            <w:r w:rsidRPr="003E7E28">
              <w:rPr>
                <w:rFonts w:cs="TT24Bo00"/>
              </w:rPr>
              <w:lastRenderedPageBreak/>
              <w:t>coverage. For example, the documents that make up the Local Plan specify how the City Council’s policies for affordable housing should be applied to development sites within Oxford’s boundaries, the overall number of which are part of the Growth Strategy.</w:t>
            </w:r>
          </w:p>
          <w:p w:rsidR="00D23053" w:rsidRPr="003E7E28" w:rsidRDefault="00D23053" w:rsidP="00933FB7">
            <w:pPr>
              <w:autoSpaceDE w:val="0"/>
              <w:autoSpaceDN w:val="0"/>
              <w:adjustRightInd w:val="0"/>
              <w:rPr>
                <w:rFonts w:cs="TT24Bo00"/>
              </w:rPr>
            </w:pPr>
          </w:p>
          <w:p w:rsidR="00D23053" w:rsidRPr="003E7E28" w:rsidRDefault="00D23053" w:rsidP="00933FB7">
            <w:pPr>
              <w:autoSpaceDE w:val="0"/>
              <w:autoSpaceDN w:val="0"/>
              <w:adjustRightInd w:val="0"/>
              <w:rPr>
                <w:rFonts w:cs="TT24Bo00"/>
              </w:rPr>
            </w:pPr>
            <w:r w:rsidRPr="003E7E28">
              <w:rPr>
                <w:rFonts w:cs="TT24Bo00"/>
              </w:rPr>
              <w:t>However, as the Scrutiny Committee heard, the difference between the objectively assessed need for housing (SHMA</w:t>
            </w:r>
            <w:r w:rsidRPr="003E7E28">
              <w:rPr>
                <w:rStyle w:val="FootnoteReference"/>
                <w:rFonts w:cs="TT24Bo00"/>
              </w:rPr>
              <w:footnoteReference w:id="1"/>
            </w:r>
            <w:r w:rsidRPr="003E7E28">
              <w:rPr>
                <w:rFonts w:cs="TT24Bo00"/>
              </w:rPr>
              <w:t>) for Oxford and the number of homes that can be accommodated within the City’s administrative area (SHLAA</w:t>
            </w:r>
            <w:r w:rsidRPr="003E7E28">
              <w:rPr>
                <w:rStyle w:val="FootnoteReference"/>
                <w:rFonts w:cs="TT24Bo00"/>
              </w:rPr>
              <w:footnoteReference w:id="2"/>
            </w:r>
            <w:r w:rsidRPr="003E7E28">
              <w:rPr>
                <w:rFonts w:cs="TT24Bo00"/>
              </w:rPr>
              <w:t>) is substantial, and the majority of unmet need will have to be met on sites outside Oxford’s boundaries. This means that different affordable housing policies of other Local Planning Authorities will apply to those sites. Where the City Council is a landowner it may be possible to take a different approach above and beyond that laid down in the relevant LPA’s planning policies, but in most instances the sites are owned by others.</w:t>
            </w:r>
          </w:p>
          <w:p w:rsidR="00D23053" w:rsidRPr="003E7E28" w:rsidRDefault="00D23053" w:rsidP="00933FB7">
            <w:pPr>
              <w:autoSpaceDE w:val="0"/>
              <w:autoSpaceDN w:val="0"/>
              <w:adjustRightInd w:val="0"/>
              <w:rPr>
                <w:rFonts w:cs="TT24Bo00"/>
              </w:rPr>
            </w:pPr>
          </w:p>
          <w:p w:rsidR="00D23053" w:rsidRPr="003E7E28" w:rsidRDefault="00D23053" w:rsidP="00933FB7">
            <w:pPr>
              <w:autoSpaceDE w:val="0"/>
              <w:autoSpaceDN w:val="0"/>
              <w:adjustRightInd w:val="0"/>
              <w:rPr>
                <w:rFonts w:cs="TT24Bo00"/>
              </w:rPr>
            </w:pPr>
            <w:r w:rsidRPr="003E7E28">
              <w:rPr>
                <w:rFonts w:cs="TT24Bo00"/>
              </w:rPr>
              <w:t xml:space="preserve">In the SHMA numbers the need for affordable housing was a major factor, alongside supporting expected economic growth. Even so, it is important to note that it has been estimated that to meet all of Oxford’s unmet need for just affordable housing, using current planning policies, requires a number that is HIGHER than the highest figure in the SHMA </w:t>
            </w:r>
            <w:r w:rsidRPr="003E7E28">
              <w:rPr>
                <w:rFonts w:cs="TT24Bo00"/>
              </w:rPr>
              <w:lastRenderedPageBreak/>
              <w:t>range (24-32k). That is why the City Council will continue to argue strongly for housing allocations to meet unmet need in Oxford to be at the higher end of the range in the SHMA.</w:t>
            </w:r>
          </w:p>
          <w:p w:rsidR="00D23053" w:rsidRPr="003E7E28" w:rsidRDefault="00D23053" w:rsidP="00933FB7">
            <w:pPr>
              <w:autoSpaceDE w:val="0"/>
              <w:autoSpaceDN w:val="0"/>
              <w:adjustRightInd w:val="0"/>
              <w:rPr>
                <w:rFonts w:cs="TT24Bo00"/>
              </w:rPr>
            </w:pPr>
          </w:p>
          <w:p w:rsidR="00D23053" w:rsidRPr="003E7E28" w:rsidRDefault="00D23053" w:rsidP="00933FB7">
            <w:pPr>
              <w:autoSpaceDE w:val="0"/>
              <w:autoSpaceDN w:val="0"/>
              <w:adjustRightInd w:val="0"/>
              <w:rPr>
                <w:rFonts w:cs="Arial"/>
                <w:b/>
              </w:rPr>
            </w:pPr>
            <w:r w:rsidRPr="003E7E28">
              <w:rPr>
                <w:rFonts w:cs="TT24Bo00"/>
              </w:rPr>
              <w:t>In conclusion, it will be helpful for future iterations of the Oxford Growth Strategy to make clear both the origin of the SHMA range as being in part influenced by the assessed need for affordable housing, and the likely impacts for affordable housing of different policy options being pursued by the City Council and by others in the current discussions over housing allocations in Oxfordshire.</w:t>
            </w:r>
          </w:p>
        </w:tc>
        <w:tc>
          <w:tcPr>
            <w:tcW w:w="1559" w:type="dxa"/>
          </w:tcPr>
          <w:p w:rsidR="00D23053" w:rsidRPr="003E7E28" w:rsidRDefault="00933FB7" w:rsidP="00933FB7">
            <w:pPr>
              <w:rPr>
                <w:rFonts w:cs="Arial"/>
              </w:rPr>
            </w:pPr>
            <w:r w:rsidRPr="003E7E28">
              <w:rPr>
                <w:rFonts w:cs="Arial"/>
              </w:rPr>
              <w:lastRenderedPageBreak/>
              <w:t xml:space="preserve">Cllr Hollingsworth &amp; Matthew Bates &amp; </w:t>
            </w:r>
            <w:proofErr w:type="spellStart"/>
            <w:r w:rsidRPr="003E7E28">
              <w:rPr>
                <w:rFonts w:cs="Arial"/>
              </w:rPr>
              <w:t>Lynsdey</w:t>
            </w:r>
            <w:proofErr w:type="spellEnd"/>
            <w:r w:rsidRPr="003E7E28">
              <w:rPr>
                <w:rFonts w:cs="Arial"/>
              </w:rPr>
              <w:t xml:space="preserve"> Beveridge</w:t>
            </w:r>
          </w:p>
        </w:tc>
        <w:tc>
          <w:tcPr>
            <w:tcW w:w="1560" w:type="dxa"/>
            <w:gridSpan w:val="2"/>
          </w:tcPr>
          <w:p w:rsidR="00D23053" w:rsidRPr="003E7E28" w:rsidRDefault="00634CB5" w:rsidP="00933FB7">
            <w:pPr>
              <w:rPr>
                <w:rFonts w:cs="Arial"/>
              </w:rPr>
            </w:pPr>
            <w:r>
              <w:rPr>
                <w:rFonts w:cs="Arial"/>
              </w:rPr>
              <w:t>Sept 2016</w:t>
            </w:r>
          </w:p>
        </w:tc>
      </w:tr>
      <w:tr w:rsidR="00D23053" w:rsidRPr="003E7E28" w:rsidTr="00DA4198">
        <w:trPr>
          <w:trHeight w:val="481"/>
        </w:trPr>
        <w:tc>
          <w:tcPr>
            <w:tcW w:w="13892" w:type="dxa"/>
            <w:gridSpan w:val="6"/>
            <w:shd w:val="clear" w:color="auto" w:fill="D9D9D9" w:themeFill="background1" w:themeFillShade="D9"/>
            <w:vAlign w:val="center"/>
          </w:tcPr>
          <w:p w:rsidR="00D23053" w:rsidRPr="003E7E28" w:rsidRDefault="00D23053" w:rsidP="00512CAF">
            <w:pPr>
              <w:rPr>
                <w:rFonts w:cs="Arial"/>
                <w:b/>
              </w:rPr>
            </w:pPr>
            <w:r w:rsidRPr="003E7E28">
              <w:rPr>
                <w:rFonts w:cs="Arial"/>
                <w:b/>
                <w:bCs/>
              </w:rPr>
              <w:lastRenderedPageBreak/>
              <w:t>Waste Water Flooding Panel – Scrutiny Committee 7 September</w:t>
            </w:r>
          </w:p>
        </w:tc>
      </w:tr>
      <w:tr w:rsidR="00D23053" w:rsidRPr="003E7E28" w:rsidTr="00DA4198">
        <w:tc>
          <w:tcPr>
            <w:tcW w:w="4678" w:type="dxa"/>
            <w:shd w:val="clear" w:color="auto" w:fill="auto"/>
            <w:vAlign w:val="center"/>
          </w:tcPr>
          <w:p w:rsidR="00D23053" w:rsidRPr="003E7E28" w:rsidRDefault="00D23053" w:rsidP="00623DA4">
            <w:pPr>
              <w:rPr>
                <w:rFonts w:cs="Arial"/>
                <w:b/>
              </w:rPr>
            </w:pPr>
            <w:r w:rsidRPr="003E7E28">
              <w:rPr>
                <w:rFonts w:cs="Arial"/>
                <w:b/>
              </w:rPr>
              <w:t>Recommendation</w:t>
            </w:r>
          </w:p>
        </w:tc>
        <w:tc>
          <w:tcPr>
            <w:tcW w:w="992" w:type="dxa"/>
            <w:shd w:val="clear" w:color="auto" w:fill="auto"/>
            <w:vAlign w:val="center"/>
          </w:tcPr>
          <w:p w:rsidR="00D23053" w:rsidRPr="003E7E28" w:rsidRDefault="00D23053" w:rsidP="00623DA4">
            <w:pPr>
              <w:rPr>
                <w:rFonts w:cs="Arial"/>
                <w:b/>
              </w:rPr>
            </w:pPr>
            <w:r w:rsidRPr="003E7E28">
              <w:rPr>
                <w:rFonts w:cs="Arial"/>
                <w:b/>
              </w:rPr>
              <w:t>Agreed Y/N</w:t>
            </w:r>
          </w:p>
        </w:tc>
        <w:tc>
          <w:tcPr>
            <w:tcW w:w="5103" w:type="dxa"/>
            <w:shd w:val="clear" w:color="auto" w:fill="auto"/>
            <w:vAlign w:val="center"/>
          </w:tcPr>
          <w:p w:rsidR="00D23053" w:rsidRPr="003E7E28" w:rsidRDefault="00D23053" w:rsidP="00623DA4">
            <w:pPr>
              <w:rPr>
                <w:rFonts w:cs="Arial"/>
                <w:b/>
              </w:rPr>
            </w:pPr>
            <w:r w:rsidRPr="003E7E28">
              <w:rPr>
                <w:rFonts w:cs="Arial"/>
                <w:b/>
              </w:rPr>
              <w:t>Executive response</w:t>
            </w:r>
          </w:p>
        </w:tc>
        <w:tc>
          <w:tcPr>
            <w:tcW w:w="1559" w:type="dxa"/>
            <w:vAlign w:val="center"/>
          </w:tcPr>
          <w:p w:rsidR="00D23053" w:rsidRPr="003E7E28" w:rsidRDefault="00D23053" w:rsidP="00623DA4">
            <w:pPr>
              <w:rPr>
                <w:rFonts w:cs="Arial"/>
                <w:b/>
              </w:rPr>
            </w:pPr>
            <w:r w:rsidRPr="003E7E28">
              <w:rPr>
                <w:rFonts w:cs="Arial"/>
                <w:b/>
              </w:rPr>
              <w:t xml:space="preserve">Member &amp; Officer </w:t>
            </w:r>
          </w:p>
        </w:tc>
        <w:tc>
          <w:tcPr>
            <w:tcW w:w="1560" w:type="dxa"/>
            <w:gridSpan w:val="2"/>
            <w:vAlign w:val="center"/>
          </w:tcPr>
          <w:p w:rsidR="00D23053" w:rsidRPr="003E7E28" w:rsidRDefault="00712970" w:rsidP="00712970">
            <w:pPr>
              <w:rPr>
                <w:rFonts w:cs="Arial"/>
                <w:b/>
              </w:rPr>
            </w:pPr>
            <w:r>
              <w:rPr>
                <w:rFonts w:cs="Arial"/>
                <w:b/>
              </w:rPr>
              <w:t>D</w:t>
            </w:r>
            <w:r w:rsidR="00D23053" w:rsidRPr="003E7E28">
              <w:rPr>
                <w:rFonts w:cs="Arial"/>
                <w:b/>
              </w:rPr>
              <w:t>ue date</w:t>
            </w:r>
          </w:p>
        </w:tc>
      </w:tr>
      <w:tr w:rsidR="00D23053" w:rsidRPr="003E7E28" w:rsidTr="00DA4198">
        <w:tc>
          <w:tcPr>
            <w:tcW w:w="4678" w:type="dxa"/>
            <w:shd w:val="clear" w:color="auto" w:fill="auto"/>
          </w:tcPr>
          <w:p w:rsidR="00D23053" w:rsidRPr="003E7E28" w:rsidRDefault="00D23053" w:rsidP="00623DA4">
            <w:pPr>
              <w:autoSpaceDE w:val="0"/>
              <w:autoSpaceDN w:val="0"/>
              <w:adjustRightInd w:val="0"/>
              <w:rPr>
                <w:rFonts w:cs="Arial"/>
                <w:bCs/>
              </w:rPr>
            </w:pPr>
            <w:r w:rsidRPr="003E7E28">
              <w:rPr>
                <w:rFonts w:cs="Arial"/>
                <w:bCs/>
              </w:rPr>
              <w:t>That the City Council continues to engage with Thames Water Utilities (TWU) at a senior level through the Oxford Area Flood Partnership and other appropriate channels.  This should include early engagement in relation to future development proposals that affect TWU.</w:t>
            </w:r>
          </w:p>
        </w:tc>
        <w:tc>
          <w:tcPr>
            <w:tcW w:w="992" w:type="dxa"/>
            <w:shd w:val="clear" w:color="auto" w:fill="auto"/>
          </w:tcPr>
          <w:p w:rsidR="00D23053" w:rsidRPr="003E7E28" w:rsidRDefault="00D23053" w:rsidP="00F30829">
            <w:pPr>
              <w:rPr>
                <w:rFonts w:cs="Arial"/>
              </w:rPr>
            </w:pPr>
            <w:r w:rsidRPr="003E7E28">
              <w:rPr>
                <w:rFonts w:cs="Arial"/>
              </w:rPr>
              <w:t>Agreed</w:t>
            </w:r>
          </w:p>
        </w:tc>
        <w:tc>
          <w:tcPr>
            <w:tcW w:w="5103" w:type="dxa"/>
            <w:shd w:val="clear" w:color="auto" w:fill="auto"/>
          </w:tcPr>
          <w:p w:rsidR="00D23053" w:rsidRPr="003E7E28" w:rsidRDefault="00933FB7" w:rsidP="00623DA4">
            <w:r w:rsidRPr="003E7E28">
              <w:t>Happy to agree and endorse the work of the Waste Water Flooding Panel</w:t>
            </w:r>
          </w:p>
        </w:tc>
        <w:tc>
          <w:tcPr>
            <w:tcW w:w="1559" w:type="dxa"/>
          </w:tcPr>
          <w:p w:rsidR="00D23053" w:rsidRPr="003E7E28" w:rsidRDefault="00933FB7" w:rsidP="00933FB7">
            <w:pPr>
              <w:rPr>
                <w:rFonts w:cs="Arial"/>
              </w:rPr>
            </w:pPr>
            <w:r w:rsidRPr="003E7E28">
              <w:rPr>
                <w:rFonts w:cs="Arial"/>
              </w:rPr>
              <w:t>Cllr Price &amp; Tim Sadler</w:t>
            </w:r>
          </w:p>
        </w:tc>
        <w:tc>
          <w:tcPr>
            <w:tcW w:w="1560" w:type="dxa"/>
            <w:gridSpan w:val="2"/>
          </w:tcPr>
          <w:p w:rsidR="00D23053" w:rsidRPr="003E7E28" w:rsidRDefault="00933FB7" w:rsidP="00933FB7">
            <w:pPr>
              <w:rPr>
                <w:rFonts w:cs="Arial"/>
              </w:rPr>
            </w:pPr>
            <w:r w:rsidRPr="003E7E28">
              <w:rPr>
                <w:rFonts w:cs="Arial"/>
              </w:rPr>
              <w:t>March 2016</w:t>
            </w:r>
          </w:p>
        </w:tc>
      </w:tr>
      <w:tr w:rsidR="008510EC" w:rsidRPr="003E7E28" w:rsidTr="00BC1E44">
        <w:trPr>
          <w:trHeight w:val="430"/>
        </w:trPr>
        <w:tc>
          <w:tcPr>
            <w:tcW w:w="1389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8510EC" w:rsidRPr="003E7E28" w:rsidRDefault="008510EC" w:rsidP="00623DA4">
            <w:pPr>
              <w:rPr>
                <w:rFonts w:cs="Arial"/>
                <w:b/>
                <w:bCs/>
              </w:rPr>
            </w:pPr>
            <w:r w:rsidRPr="003E7E28">
              <w:rPr>
                <w:rFonts w:cs="Arial"/>
                <w:b/>
                <w:bCs/>
              </w:rPr>
              <w:t xml:space="preserve">Debt Management Policy – Finance Panel 2 July </w:t>
            </w:r>
          </w:p>
        </w:tc>
      </w:tr>
      <w:tr w:rsidR="008510EC" w:rsidRPr="003E7E28" w:rsidTr="00DA4198">
        <w:tc>
          <w:tcPr>
            <w:tcW w:w="4678" w:type="dxa"/>
            <w:shd w:val="clear" w:color="auto" w:fill="auto"/>
            <w:vAlign w:val="center"/>
          </w:tcPr>
          <w:p w:rsidR="008510EC" w:rsidRPr="003E7E28" w:rsidRDefault="008510EC" w:rsidP="00623DA4">
            <w:pPr>
              <w:rPr>
                <w:rFonts w:cs="Arial"/>
                <w:b/>
              </w:rPr>
            </w:pPr>
            <w:r w:rsidRPr="003E7E28">
              <w:rPr>
                <w:rFonts w:cs="Arial"/>
                <w:b/>
              </w:rPr>
              <w:t>Recommendation</w:t>
            </w:r>
          </w:p>
        </w:tc>
        <w:tc>
          <w:tcPr>
            <w:tcW w:w="992" w:type="dxa"/>
            <w:shd w:val="clear" w:color="auto" w:fill="auto"/>
            <w:vAlign w:val="center"/>
          </w:tcPr>
          <w:p w:rsidR="008510EC" w:rsidRPr="003E7E28" w:rsidRDefault="008510EC" w:rsidP="00623DA4">
            <w:pPr>
              <w:rPr>
                <w:rFonts w:cs="Arial"/>
                <w:b/>
              </w:rPr>
            </w:pPr>
            <w:r w:rsidRPr="003E7E28">
              <w:rPr>
                <w:rFonts w:cs="Arial"/>
                <w:b/>
              </w:rPr>
              <w:t>Agreed Y/N</w:t>
            </w:r>
          </w:p>
        </w:tc>
        <w:tc>
          <w:tcPr>
            <w:tcW w:w="5103" w:type="dxa"/>
            <w:shd w:val="clear" w:color="auto" w:fill="auto"/>
            <w:vAlign w:val="center"/>
          </w:tcPr>
          <w:p w:rsidR="008510EC" w:rsidRPr="003E7E28" w:rsidRDefault="008510EC" w:rsidP="00623DA4">
            <w:pPr>
              <w:rPr>
                <w:rFonts w:cs="Arial"/>
                <w:b/>
              </w:rPr>
            </w:pPr>
            <w:r w:rsidRPr="003E7E28">
              <w:rPr>
                <w:rFonts w:cs="Arial"/>
                <w:b/>
              </w:rPr>
              <w:t>Executive response</w:t>
            </w:r>
          </w:p>
        </w:tc>
        <w:tc>
          <w:tcPr>
            <w:tcW w:w="1559" w:type="dxa"/>
            <w:vAlign w:val="center"/>
          </w:tcPr>
          <w:p w:rsidR="008510EC" w:rsidRPr="003E7E28" w:rsidRDefault="008510EC" w:rsidP="00623DA4">
            <w:pPr>
              <w:rPr>
                <w:rFonts w:cs="Arial"/>
                <w:b/>
              </w:rPr>
            </w:pPr>
            <w:r w:rsidRPr="003E7E28">
              <w:rPr>
                <w:rFonts w:cs="Arial"/>
                <w:b/>
              </w:rPr>
              <w:t xml:space="preserve">Member &amp; Officer </w:t>
            </w:r>
          </w:p>
        </w:tc>
        <w:tc>
          <w:tcPr>
            <w:tcW w:w="1560" w:type="dxa"/>
            <w:gridSpan w:val="2"/>
            <w:vAlign w:val="center"/>
          </w:tcPr>
          <w:p w:rsidR="008510EC" w:rsidRPr="003E7E28" w:rsidRDefault="00712970" w:rsidP="00712970">
            <w:pPr>
              <w:rPr>
                <w:rFonts w:cs="Arial"/>
                <w:b/>
              </w:rPr>
            </w:pPr>
            <w:r>
              <w:rPr>
                <w:rFonts w:cs="Arial"/>
                <w:b/>
              </w:rPr>
              <w:t>D</w:t>
            </w:r>
            <w:r w:rsidR="008510EC" w:rsidRPr="003E7E28">
              <w:rPr>
                <w:rFonts w:cs="Arial"/>
                <w:b/>
              </w:rPr>
              <w:t>ue date</w:t>
            </w:r>
          </w:p>
        </w:tc>
      </w:tr>
      <w:tr w:rsidR="008510EC" w:rsidRPr="003E7E28" w:rsidTr="00DA4198">
        <w:tc>
          <w:tcPr>
            <w:tcW w:w="4678" w:type="dxa"/>
            <w:shd w:val="clear" w:color="auto" w:fill="auto"/>
          </w:tcPr>
          <w:p w:rsidR="008510EC" w:rsidRPr="003E7E28" w:rsidRDefault="008510EC" w:rsidP="008D73A0">
            <w:pPr>
              <w:rPr>
                <w:rFonts w:cs="Arial"/>
              </w:rPr>
            </w:pPr>
            <w:r w:rsidRPr="003E7E28">
              <w:rPr>
                <w:rFonts w:cs="Arial"/>
              </w:rPr>
              <w:t xml:space="preserve">2. We reaffirm recommendation 15d of the Inequality Panel about the Council moving towards having a single view of debt.  It will still require considerable </w:t>
            </w:r>
            <w:r w:rsidRPr="003E7E28">
              <w:rPr>
                <w:rFonts w:cs="Arial"/>
              </w:rPr>
              <w:lastRenderedPageBreak/>
              <w:t xml:space="preserve">effort to make this a reality but we strongly endorse this direction of travel and the progress made to date, including the use of fraud detection software to identify individuals with multiple debts owed to the Council </w:t>
            </w:r>
          </w:p>
        </w:tc>
        <w:tc>
          <w:tcPr>
            <w:tcW w:w="992" w:type="dxa"/>
            <w:shd w:val="clear" w:color="auto" w:fill="auto"/>
          </w:tcPr>
          <w:p w:rsidR="008510EC" w:rsidRPr="003E7E28" w:rsidRDefault="008D73A0" w:rsidP="008D73A0">
            <w:pPr>
              <w:rPr>
                <w:rFonts w:cs="Arial"/>
              </w:rPr>
            </w:pPr>
            <w:r w:rsidRPr="003E7E28">
              <w:rPr>
                <w:rFonts w:cs="Arial"/>
              </w:rPr>
              <w:lastRenderedPageBreak/>
              <w:t>Y</w:t>
            </w:r>
          </w:p>
        </w:tc>
        <w:tc>
          <w:tcPr>
            <w:tcW w:w="5103" w:type="dxa"/>
            <w:shd w:val="clear" w:color="auto" w:fill="auto"/>
          </w:tcPr>
          <w:p w:rsidR="008510EC" w:rsidRPr="003E7E28" w:rsidRDefault="005220C5" w:rsidP="008D73A0">
            <w:pPr>
              <w:rPr>
                <w:rFonts w:cs="Arial"/>
              </w:rPr>
            </w:pPr>
            <w:r w:rsidRPr="003E7E28">
              <w:rPr>
                <w:rFonts w:cs="Arial"/>
              </w:rPr>
              <w:t xml:space="preserve">The project to implement this software which will allow us the single view of debt is underway, and will greatly assist in the management of all outstanding debts to the </w:t>
            </w:r>
            <w:r w:rsidRPr="003E7E28">
              <w:rPr>
                <w:rFonts w:cs="Arial"/>
              </w:rPr>
              <w:lastRenderedPageBreak/>
              <w:t>Council and allow us to operate in accordance with the Corporate Debt Policy.</w:t>
            </w:r>
          </w:p>
        </w:tc>
        <w:tc>
          <w:tcPr>
            <w:tcW w:w="1559" w:type="dxa"/>
          </w:tcPr>
          <w:p w:rsidR="008510EC" w:rsidRPr="003E7E28" w:rsidRDefault="005220C5" w:rsidP="008D73A0">
            <w:pPr>
              <w:rPr>
                <w:rFonts w:cs="Arial"/>
              </w:rPr>
            </w:pPr>
            <w:r w:rsidRPr="003E7E28">
              <w:rPr>
                <w:rFonts w:cs="Arial"/>
              </w:rPr>
              <w:lastRenderedPageBreak/>
              <w:t xml:space="preserve">Cllr Turner / Tanya </w:t>
            </w:r>
            <w:proofErr w:type="spellStart"/>
            <w:r w:rsidRPr="003E7E28">
              <w:rPr>
                <w:rFonts w:cs="Arial"/>
              </w:rPr>
              <w:t>Bandekar</w:t>
            </w:r>
            <w:proofErr w:type="spellEnd"/>
          </w:p>
        </w:tc>
        <w:tc>
          <w:tcPr>
            <w:tcW w:w="1560" w:type="dxa"/>
            <w:gridSpan w:val="2"/>
          </w:tcPr>
          <w:p w:rsidR="008510EC" w:rsidRPr="003E7E28" w:rsidRDefault="005220C5" w:rsidP="008D73A0">
            <w:pPr>
              <w:rPr>
                <w:rFonts w:cs="Arial"/>
              </w:rPr>
            </w:pPr>
            <w:r w:rsidRPr="003E7E28">
              <w:rPr>
                <w:rFonts w:cs="Arial"/>
              </w:rPr>
              <w:t>June 2016</w:t>
            </w:r>
          </w:p>
        </w:tc>
      </w:tr>
      <w:tr w:rsidR="008510EC" w:rsidRPr="003E7E28" w:rsidTr="00BC1E44">
        <w:trPr>
          <w:trHeight w:val="430"/>
        </w:trPr>
        <w:tc>
          <w:tcPr>
            <w:tcW w:w="1389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8510EC" w:rsidRPr="003E7E28" w:rsidRDefault="008510EC" w:rsidP="00E7113B">
            <w:pPr>
              <w:rPr>
                <w:rFonts w:cs="Arial"/>
                <w:b/>
                <w:bCs/>
              </w:rPr>
            </w:pPr>
            <w:r w:rsidRPr="003E7E28">
              <w:rPr>
                <w:rFonts w:cs="Arial"/>
                <w:b/>
                <w:bCs/>
              </w:rPr>
              <w:lastRenderedPageBreak/>
              <w:t>Adoption of the Statement of Community Invo</w:t>
            </w:r>
            <w:r w:rsidR="00E7113B" w:rsidRPr="003E7E28">
              <w:rPr>
                <w:rFonts w:cs="Arial"/>
                <w:b/>
                <w:bCs/>
              </w:rPr>
              <w:t>lvement in Planning (2015) –</w:t>
            </w:r>
            <w:r w:rsidRPr="003E7E28">
              <w:rPr>
                <w:rFonts w:cs="Arial"/>
                <w:b/>
                <w:bCs/>
              </w:rPr>
              <w:t xml:space="preserve"> Scrutiny Committee 30 June</w:t>
            </w:r>
          </w:p>
        </w:tc>
      </w:tr>
      <w:tr w:rsidR="008510EC" w:rsidRPr="003E7E28" w:rsidTr="00DA4198">
        <w:tc>
          <w:tcPr>
            <w:tcW w:w="4678" w:type="dxa"/>
            <w:shd w:val="clear" w:color="auto" w:fill="auto"/>
            <w:vAlign w:val="center"/>
          </w:tcPr>
          <w:p w:rsidR="008510EC" w:rsidRPr="003E7E28" w:rsidRDefault="008510EC" w:rsidP="00623DA4">
            <w:pPr>
              <w:rPr>
                <w:rFonts w:cs="Arial"/>
                <w:b/>
              </w:rPr>
            </w:pPr>
            <w:r w:rsidRPr="003E7E28">
              <w:rPr>
                <w:rFonts w:cs="Arial"/>
                <w:b/>
              </w:rPr>
              <w:t>Recommendation</w:t>
            </w:r>
          </w:p>
        </w:tc>
        <w:tc>
          <w:tcPr>
            <w:tcW w:w="992" w:type="dxa"/>
            <w:shd w:val="clear" w:color="auto" w:fill="auto"/>
            <w:vAlign w:val="center"/>
          </w:tcPr>
          <w:p w:rsidR="008510EC" w:rsidRPr="003E7E28" w:rsidRDefault="008510EC" w:rsidP="00623DA4">
            <w:pPr>
              <w:rPr>
                <w:rFonts w:cs="Arial"/>
                <w:b/>
              </w:rPr>
            </w:pPr>
            <w:r w:rsidRPr="003E7E28">
              <w:rPr>
                <w:rFonts w:cs="Arial"/>
                <w:b/>
              </w:rPr>
              <w:t>Agreed Y/N</w:t>
            </w:r>
          </w:p>
        </w:tc>
        <w:tc>
          <w:tcPr>
            <w:tcW w:w="5103" w:type="dxa"/>
            <w:shd w:val="clear" w:color="auto" w:fill="auto"/>
            <w:vAlign w:val="center"/>
          </w:tcPr>
          <w:p w:rsidR="008510EC" w:rsidRPr="003E7E28" w:rsidRDefault="008510EC" w:rsidP="00623DA4">
            <w:pPr>
              <w:rPr>
                <w:rFonts w:cs="Arial"/>
                <w:b/>
              </w:rPr>
            </w:pPr>
            <w:r w:rsidRPr="003E7E28">
              <w:rPr>
                <w:rFonts w:cs="Arial"/>
                <w:b/>
              </w:rPr>
              <w:t>Executive response</w:t>
            </w:r>
          </w:p>
        </w:tc>
        <w:tc>
          <w:tcPr>
            <w:tcW w:w="1559" w:type="dxa"/>
            <w:vAlign w:val="center"/>
          </w:tcPr>
          <w:p w:rsidR="008510EC" w:rsidRPr="003E7E28" w:rsidRDefault="008510EC" w:rsidP="00623DA4">
            <w:pPr>
              <w:rPr>
                <w:rFonts w:cs="Arial"/>
                <w:b/>
              </w:rPr>
            </w:pPr>
            <w:r w:rsidRPr="003E7E28">
              <w:rPr>
                <w:rFonts w:cs="Arial"/>
                <w:b/>
              </w:rPr>
              <w:t xml:space="preserve">Member &amp; Officer </w:t>
            </w:r>
          </w:p>
        </w:tc>
        <w:tc>
          <w:tcPr>
            <w:tcW w:w="1560" w:type="dxa"/>
            <w:gridSpan w:val="2"/>
            <w:vAlign w:val="center"/>
          </w:tcPr>
          <w:p w:rsidR="008510EC" w:rsidRPr="003E7E28" w:rsidRDefault="00712970" w:rsidP="00623DA4">
            <w:pPr>
              <w:rPr>
                <w:rFonts w:cs="Arial"/>
                <w:b/>
              </w:rPr>
            </w:pPr>
            <w:r>
              <w:rPr>
                <w:rFonts w:cs="Arial"/>
                <w:b/>
              </w:rPr>
              <w:t>D</w:t>
            </w:r>
            <w:r w:rsidR="008510EC" w:rsidRPr="003E7E28">
              <w:rPr>
                <w:rFonts w:cs="Arial"/>
                <w:b/>
              </w:rPr>
              <w:t>ue date</w:t>
            </w:r>
          </w:p>
        </w:tc>
      </w:tr>
      <w:tr w:rsidR="008510EC" w:rsidRPr="003E7E28" w:rsidTr="00DA4198">
        <w:tc>
          <w:tcPr>
            <w:tcW w:w="4678" w:type="dxa"/>
            <w:shd w:val="clear" w:color="auto" w:fill="auto"/>
          </w:tcPr>
          <w:p w:rsidR="008510EC" w:rsidRPr="003E7E28" w:rsidRDefault="008510EC" w:rsidP="00712970">
            <w:pPr>
              <w:rPr>
                <w:rFonts w:cs="Arial"/>
              </w:rPr>
            </w:pPr>
            <w:r w:rsidRPr="003E7E28">
              <w:rPr>
                <w:rFonts w:cs="Arial"/>
              </w:rPr>
              <w:t xml:space="preserve">2. </w:t>
            </w:r>
            <w:r w:rsidR="00F359DF" w:rsidRPr="003E7E28">
              <w:rPr>
                <w:rFonts w:cs="Arial"/>
              </w:rPr>
              <w:t>T</w:t>
            </w:r>
            <w:r w:rsidRPr="003E7E28">
              <w:rPr>
                <w:rFonts w:cs="Arial"/>
              </w:rPr>
              <w:t>hat the Council continues to explore new and improved ways of informing residents and community organisations of local planning issues, using both on-line and off-line communication methods.  In particular, enhancements to ICT systems should be prioritised so that individuals and groups that have signed up can receive automatic notifications when specific planning applications are progressed or amended.</w:t>
            </w:r>
          </w:p>
        </w:tc>
        <w:tc>
          <w:tcPr>
            <w:tcW w:w="992" w:type="dxa"/>
            <w:shd w:val="clear" w:color="auto" w:fill="auto"/>
          </w:tcPr>
          <w:p w:rsidR="008510EC" w:rsidRPr="003E7E28" w:rsidRDefault="008D73A0" w:rsidP="008D73A0">
            <w:pPr>
              <w:rPr>
                <w:rFonts w:cs="Arial"/>
              </w:rPr>
            </w:pPr>
            <w:r w:rsidRPr="003E7E28">
              <w:rPr>
                <w:rFonts w:cs="Arial"/>
              </w:rPr>
              <w:t>Y</w:t>
            </w:r>
          </w:p>
        </w:tc>
        <w:tc>
          <w:tcPr>
            <w:tcW w:w="5103" w:type="dxa"/>
            <w:shd w:val="clear" w:color="auto" w:fill="auto"/>
          </w:tcPr>
          <w:p w:rsidR="008510EC" w:rsidRPr="003E7E28" w:rsidRDefault="008D73A0" w:rsidP="008D73A0">
            <w:pPr>
              <w:rPr>
                <w:rFonts w:cs="Arial"/>
              </w:rPr>
            </w:pPr>
            <w:r w:rsidRPr="003E7E28">
              <w:rPr>
                <w:rFonts w:cs="Arial"/>
              </w:rPr>
              <w:t>These are action plan issues.  We need to improve the ICT.</w:t>
            </w:r>
          </w:p>
        </w:tc>
        <w:tc>
          <w:tcPr>
            <w:tcW w:w="1559" w:type="dxa"/>
          </w:tcPr>
          <w:p w:rsidR="008510EC" w:rsidRPr="003E7E28" w:rsidRDefault="008D73A0" w:rsidP="008D73A0">
            <w:pPr>
              <w:rPr>
                <w:rFonts w:cs="Arial"/>
              </w:rPr>
            </w:pPr>
            <w:r w:rsidRPr="003E7E28">
              <w:rPr>
                <w:rFonts w:cs="Arial"/>
              </w:rPr>
              <w:t>Cllr Hollingsworth / Lyndsey Beveridge</w:t>
            </w:r>
          </w:p>
        </w:tc>
        <w:tc>
          <w:tcPr>
            <w:tcW w:w="1560" w:type="dxa"/>
            <w:gridSpan w:val="2"/>
          </w:tcPr>
          <w:p w:rsidR="008510EC" w:rsidRPr="003E7E28" w:rsidRDefault="00F359DF" w:rsidP="00F359DF">
            <w:pPr>
              <w:rPr>
                <w:rFonts w:cs="Arial"/>
              </w:rPr>
            </w:pPr>
            <w:r w:rsidRPr="003E7E28">
              <w:rPr>
                <w:rFonts w:cs="Arial"/>
              </w:rPr>
              <w:t>Dec</w:t>
            </w:r>
            <w:r w:rsidR="008D73A0" w:rsidRPr="003E7E28">
              <w:rPr>
                <w:rFonts w:cs="Arial"/>
              </w:rPr>
              <w:t xml:space="preserve"> 201</w:t>
            </w:r>
            <w:r w:rsidRPr="003E7E28">
              <w:rPr>
                <w:rFonts w:cs="Arial"/>
              </w:rPr>
              <w:t>5</w:t>
            </w:r>
          </w:p>
        </w:tc>
      </w:tr>
      <w:tr w:rsidR="008D73A0" w:rsidRPr="003E7E28" w:rsidTr="00DA4198">
        <w:tc>
          <w:tcPr>
            <w:tcW w:w="4678" w:type="dxa"/>
            <w:shd w:val="clear" w:color="auto" w:fill="auto"/>
          </w:tcPr>
          <w:p w:rsidR="008D73A0" w:rsidRPr="003E7E28" w:rsidRDefault="008D73A0" w:rsidP="00712970">
            <w:pPr>
              <w:rPr>
                <w:rFonts w:cs="Arial"/>
              </w:rPr>
            </w:pPr>
            <w:r w:rsidRPr="003E7E28">
              <w:rPr>
                <w:rFonts w:cs="Arial"/>
              </w:rPr>
              <w:t xml:space="preserve">3. </w:t>
            </w:r>
            <w:r w:rsidR="00F359DF" w:rsidRPr="003E7E28">
              <w:rPr>
                <w:rFonts w:cs="Arial"/>
              </w:rPr>
              <w:t>T</w:t>
            </w:r>
            <w:r w:rsidRPr="003E7E28">
              <w:rPr>
                <w:rFonts w:cs="Arial"/>
              </w:rPr>
              <w:t>hat the Council explores whether there is a lower cost means of informing local residents of planning applications as an alternative to “neighbouring property notification letters”.  We suggest that proposals are brought forward in the next budget round.</w:t>
            </w:r>
          </w:p>
        </w:tc>
        <w:tc>
          <w:tcPr>
            <w:tcW w:w="992" w:type="dxa"/>
            <w:shd w:val="clear" w:color="auto" w:fill="auto"/>
          </w:tcPr>
          <w:p w:rsidR="008D73A0" w:rsidRPr="003E7E28" w:rsidRDefault="008D73A0" w:rsidP="008D73A0">
            <w:pPr>
              <w:rPr>
                <w:rFonts w:cs="Arial"/>
              </w:rPr>
            </w:pPr>
            <w:r w:rsidRPr="003E7E28">
              <w:rPr>
                <w:rFonts w:cs="Arial"/>
              </w:rPr>
              <w:t>Y</w:t>
            </w:r>
          </w:p>
        </w:tc>
        <w:tc>
          <w:tcPr>
            <w:tcW w:w="5103" w:type="dxa"/>
            <w:shd w:val="clear" w:color="auto" w:fill="auto"/>
          </w:tcPr>
          <w:p w:rsidR="008D73A0" w:rsidRPr="003E7E28" w:rsidRDefault="008D73A0" w:rsidP="008D73A0">
            <w:pPr>
              <w:rPr>
                <w:rFonts w:cs="Arial"/>
              </w:rPr>
            </w:pPr>
            <w:r w:rsidRPr="003E7E28">
              <w:rPr>
                <w:rFonts w:cs="Arial"/>
              </w:rPr>
              <w:t>Proposals will be put to political groups.</w:t>
            </w:r>
          </w:p>
        </w:tc>
        <w:tc>
          <w:tcPr>
            <w:tcW w:w="1559" w:type="dxa"/>
          </w:tcPr>
          <w:p w:rsidR="008D73A0" w:rsidRPr="003E7E28" w:rsidRDefault="008D73A0" w:rsidP="008D73A0">
            <w:pPr>
              <w:rPr>
                <w:rFonts w:cs="Arial"/>
              </w:rPr>
            </w:pPr>
            <w:r w:rsidRPr="003E7E28">
              <w:rPr>
                <w:rFonts w:cs="Arial"/>
              </w:rPr>
              <w:t>Cllr Hollingsworth / Lyndsey Beveridge</w:t>
            </w:r>
          </w:p>
        </w:tc>
        <w:tc>
          <w:tcPr>
            <w:tcW w:w="1560" w:type="dxa"/>
            <w:gridSpan w:val="2"/>
          </w:tcPr>
          <w:p w:rsidR="008D73A0" w:rsidRPr="003E7E28" w:rsidRDefault="008D73A0" w:rsidP="008D73A0">
            <w:pPr>
              <w:rPr>
                <w:rFonts w:cs="Arial"/>
              </w:rPr>
            </w:pPr>
            <w:r w:rsidRPr="003E7E28">
              <w:rPr>
                <w:rFonts w:cs="Arial"/>
              </w:rPr>
              <w:t>Dec 2015</w:t>
            </w:r>
          </w:p>
        </w:tc>
      </w:tr>
    </w:tbl>
    <w:p w:rsidR="001E5F82" w:rsidRDefault="001E5F82" w:rsidP="00512CAF"/>
    <w:sectPr w:rsidR="001E5F82" w:rsidSect="00AD0216">
      <w:headerReference w:type="default" r:id="rId9"/>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502" w:rsidRDefault="00422502" w:rsidP="00B53CB3">
      <w:r>
        <w:separator/>
      </w:r>
    </w:p>
  </w:endnote>
  <w:endnote w:type="continuationSeparator" w:id="0">
    <w:p w:rsidR="00422502" w:rsidRDefault="00422502"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T24B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502" w:rsidRDefault="00422502" w:rsidP="00B53CB3">
      <w:r>
        <w:separator/>
      </w:r>
    </w:p>
  </w:footnote>
  <w:footnote w:type="continuationSeparator" w:id="0">
    <w:p w:rsidR="00422502" w:rsidRDefault="00422502" w:rsidP="00B53CB3">
      <w:r>
        <w:continuationSeparator/>
      </w:r>
    </w:p>
  </w:footnote>
  <w:footnote w:id="1">
    <w:p w:rsidR="00422502" w:rsidRDefault="00422502" w:rsidP="00D23053">
      <w:pPr>
        <w:pStyle w:val="FootnoteText"/>
      </w:pPr>
      <w:r>
        <w:rPr>
          <w:rStyle w:val="FootnoteReference"/>
        </w:rPr>
        <w:footnoteRef/>
      </w:r>
      <w:r>
        <w:t xml:space="preserve"> Oxfordshire Strategic Housing Market Assessment, 2014</w:t>
      </w:r>
    </w:p>
  </w:footnote>
  <w:footnote w:id="2">
    <w:p w:rsidR="00422502" w:rsidRDefault="00422502" w:rsidP="00D23053">
      <w:pPr>
        <w:pStyle w:val="FootnoteText"/>
      </w:pPr>
      <w:r>
        <w:rPr>
          <w:rStyle w:val="FootnoteReference"/>
        </w:rPr>
        <w:footnoteRef/>
      </w:r>
      <w:r>
        <w:t xml:space="preserve"> Oxford City Strategic Housing Land Availability Assessment,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02" w:rsidRDefault="00422502" w:rsidP="00B53CB3">
    <w:pPr>
      <w:pStyle w:val="Header"/>
      <w:jc w:val="right"/>
    </w:pPr>
    <w:r>
      <w:t>2</w:t>
    </w:r>
    <w:r w:rsidR="00C63D2C">
      <w:t>9</w:t>
    </w:r>
    <w:r>
      <w:t xml:space="preserve"> December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76F"/>
    <w:multiLevelType w:val="hybridMultilevel"/>
    <w:tmpl w:val="B1F6E1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6D42B52"/>
    <w:multiLevelType w:val="hybridMultilevel"/>
    <w:tmpl w:val="6E1214C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A5D366D"/>
    <w:multiLevelType w:val="hybridMultilevel"/>
    <w:tmpl w:val="702CD89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DCC6DAC"/>
    <w:multiLevelType w:val="hybridMultilevel"/>
    <w:tmpl w:val="52ACE6A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0F0C6B40"/>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844860"/>
    <w:multiLevelType w:val="hybridMultilevel"/>
    <w:tmpl w:val="3266F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81B6BD8"/>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B1A70B5"/>
    <w:multiLevelType w:val="hybridMultilevel"/>
    <w:tmpl w:val="C0924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D57370"/>
    <w:multiLevelType w:val="hybridMultilevel"/>
    <w:tmpl w:val="E31EA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1974F4F"/>
    <w:multiLevelType w:val="hybridMultilevel"/>
    <w:tmpl w:val="B136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970DF1"/>
    <w:multiLevelType w:val="hybridMultilevel"/>
    <w:tmpl w:val="2290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8C1CB7"/>
    <w:multiLevelType w:val="hybridMultilevel"/>
    <w:tmpl w:val="B2A85C4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27B63201"/>
    <w:multiLevelType w:val="hybridMultilevel"/>
    <w:tmpl w:val="FE84A25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2D1F4A78"/>
    <w:multiLevelType w:val="hybridMultilevel"/>
    <w:tmpl w:val="9AB4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3A28C1"/>
    <w:multiLevelType w:val="hybridMultilevel"/>
    <w:tmpl w:val="16785B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179238A"/>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2FB0A18"/>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80843F4"/>
    <w:multiLevelType w:val="hybridMultilevel"/>
    <w:tmpl w:val="DE62D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A9596B"/>
    <w:multiLevelType w:val="hybridMultilevel"/>
    <w:tmpl w:val="9B441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BB467F"/>
    <w:multiLevelType w:val="hybridMultilevel"/>
    <w:tmpl w:val="3A149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DC07E82"/>
    <w:multiLevelType w:val="hybridMultilevel"/>
    <w:tmpl w:val="07C218D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4DDF2674"/>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59E657F"/>
    <w:multiLevelType w:val="hybridMultilevel"/>
    <w:tmpl w:val="F5E4B7C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55F57089"/>
    <w:multiLevelType w:val="hybridMultilevel"/>
    <w:tmpl w:val="8F4257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5886547D"/>
    <w:multiLevelType w:val="hybridMultilevel"/>
    <w:tmpl w:val="EF541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46238E"/>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D7A680D"/>
    <w:multiLevelType w:val="hybridMultilevel"/>
    <w:tmpl w:val="00A4F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635739"/>
    <w:multiLevelType w:val="hybridMultilevel"/>
    <w:tmpl w:val="CB0CFF8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62312D37"/>
    <w:multiLevelType w:val="hybridMultilevel"/>
    <w:tmpl w:val="B454B1F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nsid w:val="63F56FF9"/>
    <w:multiLevelType w:val="hybridMultilevel"/>
    <w:tmpl w:val="C0B80F1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nsid w:val="66202282"/>
    <w:multiLevelType w:val="hybridMultilevel"/>
    <w:tmpl w:val="7F80B9AA"/>
    <w:lvl w:ilvl="0" w:tplc="A21A4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3D7E27"/>
    <w:multiLevelType w:val="hybridMultilevel"/>
    <w:tmpl w:val="16785B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79F7999"/>
    <w:multiLevelType w:val="hybridMultilevel"/>
    <w:tmpl w:val="8ACEAAFC"/>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3">
    <w:nsid w:val="7419360E"/>
    <w:multiLevelType w:val="hybridMultilevel"/>
    <w:tmpl w:val="7E6A3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512DE5"/>
    <w:multiLevelType w:val="hybridMultilevel"/>
    <w:tmpl w:val="C2B2B7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7C0D5374"/>
    <w:multiLevelType w:val="hybridMultilevel"/>
    <w:tmpl w:val="F71A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293B99"/>
    <w:multiLevelType w:val="hybridMultilevel"/>
    <w:tmpl w:val="8B84D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1"/>
  </w:num>
  <w:num w:numId="3">
    <w:abstractNumId w:val="35"/>
  </w:num>
  <w:num w:numId="4">
    <w:abstractNumId w:val="36"/>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num>
  <w:num w:numId="9">
    <w:abstractNumId w:val="24"/>
  </w:num>
  <w:num w:numId="10">
    <w:abstractNumId w:val="17"/>
  </w:num>
  <w:num w:numId="11">
    <w:abstractNumId w:val="5"/>
  </w:num>
  <w:num w:numId="12">
    <w:abstractNumId w:val="33"/>
  </w:num>
  <w:num w:numId="13">
    <w:abstractNumId w:val="26"/>
  </w:num>
  <w:num w:numId="14">
    <w:abstractNumId w:val="30"/>
  </w:num>
  <w:num w:numId="15">
    <w:abstractNumId w:val="7"/>
  </w:num>
  <w:num w:numId="16">
    <w:abstractNumId w:val="23"/>
  </w:num>
  <w:num w:numId="17">
    <w:abstractNumId w:val="16"/>
  </w:num>
  <w:num w:numId="18">
    <w:abstractNumId w:val="15"/>
  </w:num>
  <w:num w:numId="19">
    <w:abstractNumId w:val="25"/>
  </w:num>
  <w:num w:numId="20">
    <w:abstractNumId w:val="4"/>
  </w:num>
  <w:num w:numId="21">
    <w:abstractNumId w:val="1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2"/>
  </w:num>
  <w:num w:numId="37">
    <w:abstractNumId w:val="9"/>
  </w:num>
  <w:num w:numId="38">
    <w:abstractNumId w:val="1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D"/>
    <w:rsid w:val="00022316"/>
    <w:rsid w:val="000332BC"/>
    <w:rsid w:val="00042425"/>
    <w:rsid w:val="00044F81"/>
    <w:rsid w:val="00050D31"/>
    <w:rsid w:val="00065D19"/>
    <w:rsid w:val="000907A4"/>
    <w:rsid w:val="000A4475"/>
    <w:rsid w:val="000A641D"/>
    <w:rsid w:val="000B4310"/>
    <w:rsid w:val="000C2351"/>
    <w:rsid w:val="000C7EFC"/>
    <w:rsid w:val="000F1206"/>
    <w:rsid w:val="000F3DFE"/>
    <w:rsid w:val="001035B3"/>
    <w:rsid w:val="0017183A"/>
    <w:rsid w:val="00180D75"/>
    <w:rsid w:val="001D5FF1"/>
    <w:rsid w:val="001E5F82"/>
    <w:rsid w:val="001E75C0"/>
    <w:rsid w:val="001F088D"/>
    <w:rsid w:val="002014D2"/>
    <w:rsid w:val="002073B7"/>
    <w:rsid w:val="0021254A"/>
    <w:rsid w:val="002156E2"/>
    <w:rsid w:val="00220229"/>
    <w:rsid w:val="00223663"/>
    <w:rsid w:val="00231089"/>
    <w:rsid w:val="00233049"/>
    <w:rsid w:val="00234BF4"/>
    <w:rsid w:val="002511EA"/>
    <w:rsid w:val="00292169"/>
    <w:rsid w:val="002A0C78"/>
    <w:rsid w:val="002B2BFC"/>
    <w:rsid w:val="002B5B42"/>
    <w:rsid w:val="002C0C24"/>
    <w:rsid w:val="002E7B68"/>
    <w:rsid w:val="002F3A2A"/>
    <w:rsid w:val="003023E9"/>
    <w:rsid w:val="00316382"/>
    <w:rsid w:val="00326344"/>
    <w:rsid w:val="00327FFE"/>
    <w:rsid w:val="0035028E"/>
    <w:rsid w:val="00357022"/>
    <w:rsid w:val="003609CE"/>
    <w:rsid w:val="0037249F"/>
    <w:rsid w:val="00372908"/>
    <w:rsid w:val="003868AF"/>
    <w:rsid w:val="00395D50"/>
    <w:rsid w:val="0039766A"/>
    <w:rsid w:val="003A37E9"/>
    <w:rsid w:val="003A4328"/>
    <w:rsid w:val="003A6504"/>
    <w:rsid w:val="003B3272"/>
    <w:rsid w:val="003C133A"/>
    <w:rsid w:val="003C1987"/>
    <w:rsid w:val="003C7868"/>
    <w:rsid w:val="003E3F0E"/>
    <w:rsid w:val="003E7E28"/>
    <w:rsid w:val="004000D7"/>
    <w:rsid w:val="00414EEA"/>
    <w:rsid w:val="00417C2D"/>
    <w:rsid w:val="00422502"/>
    <w:rsid w:val="00447415"/>
    <w:rsid w:val="004902A3"/>
    <w:rsid w:val="004A6057"/>
    <w:rsid w:val="004D284C"/>
    <w:rsid w:val="004E7776"/>
    <w:rsid w:val="00504E43"/>
    <w:rsid w:val="00512CAF"/>
    <w:rsid w:val="005220C5"/>
    <w:rsid w:val="00522963"/>
    <w:rsid w:val="00551928"/>
    <w:rsid w:val="00571A41"/>
    <w:rsid w:val="00583C5A"/>
    <w:rsid w:val="00583F5B"/>
    <w:rsid w:val="00585DF7"/>
    <w:rsid w:val="005A0260"/>
    <w:rsid w:val="005B58FD"/>
    <w:rsid w:val="005C3282"/>
    <w:rsid w:val="005F5124"/>
    <w:rsid w:val="00603BD1"/>
    <w:rsid w:val="00614208"/>
    <w:rsid w:val="00623DA4"/>
    <w:rsid w:val="00625D14"/>
    <w:rsid w:val="006276C2"/>
    <w:rsid w:val="00634CB5"/>
    <w:rsid w:val="00637FCD"/>
    <w:rsid w:val="00640379"/>
    <w:rsid w:val="006625D8"/>
    <w:rsid w:val="00673B85"/>
    <w:rsid w:val="006F4EBF"/>
    <w:rsid w:val="006F5159"/>
    <w:rsid w:val="00706748"/>
    <w:rsid w:val="0071229E"/>
    <w:rsid w:val="00712970"/>
    <w:rsid w:val="0072169B"/>
    <w:rsid w:val="00753A00"/>
    <w:rsid w:val="00764563"/>
    <w:rsid w:val="00765F59"/>
    <w:rsid w:val="00770B64"/>
    <w:rsid w:val="00780C0F"/>
    <w:rsid w:val="007908F4"/>
    <w:rsid w:val="007A0A6C"/>
    <w:rsid w:val="007A4A33"/>
    <w:rsid w:val="007A7DC2"/>
    <w:rsid w:val="007B337C"/>
    <w:rsid w:val="007F368C"/>
    <w:rsid w:val="00807DCE"/>
    <w:rsid w:val="008314CD"/>
    <w:rsid w:val="008439EC"/>
    <w:rsid w:val="00844866"/>
    <w:rsid w:val="00846740"/>
    <w:rsid w:val="008510EC"/>
    <w:rsid w:val="00855DA9"/>
    <w:rsid w:val="00874529"/>
    <w:rsid w:val="008A22C6"/>
    <w:rsid w:val="008A7475"/>
    <w:rsid w:val="008B5F60"/>
    <w:rsid w:val="008C0949"/>
    <w:rsid w:val="008C55F1"/>
    <w:rsid w:val="008D23EB"/>
    <w:rsid w:val="008D24F2"/>
    <w:rsid w:val="008D519F"/>
    <w:rsid w:val="008D73A0"/>
    <w:rsid w:val="00933E25"/>
    <w:rsid w:val="00933FB7"/>
    <w:rsid w:val="0095142D"/>
    <w:rsid w:val="00956626"/>
    <w:rsid w:val="009739FF"/>
    <w:rsid w:val="0097480E"/>
    <w:rsid w:val="009775AE"/>
    <w:rsid w:val="00980EFA"/>
    <w:rsid w:val="00985E86"/>
    <w:rsid w:val="00991CB7"/>
    <w:rsid w:val="009B54B8"/>
    <w:rsid w:val="00A068C0"/>
    <w:rsid w:val="00A148F9"/>
    <w:rsid w:val="00A2637A"/>
    <w:rsid w:val="00A308B0"/>
    <w:rsid w:val="00A52ED5"/>
    <w:rsid w:val="00A82BD6"/>
    <w:rsid w:val="00A8300A"/>
    <w:rsid w:val="00AA0338"/>
    <w:rsid w:val="00AA66C9"/>
    <w:rsid w:val="00AB74FD"/>
    <w:rsid w:val="00AD0216"/>
    <w:rsid w:val="00AD2B44"/>
    <w:rsid w:val="00AD4070"/>
    <w:rsid w:val="00B035ED"/>
    <w:rsid w:val="00B06093"/>
    <w:rsid w:val="00B07D30"/>
    <w:rsid w:val="00B15A23"/>
    <w:rsid w:val="00B44C14"/>
    <w:rsid w:val="00B53CB3"/>
    <w:rsid w:val="00B546F7"/>
    <w:rsid w:val="00B85A5C"/>
    <w:rsid w:val="00B87404"/>
    <w:rsid w:val="00B92E5F"/>
    <w:rsid w:val="00B96221"/>
    <w:rsid w:val="00BA635A"/>
    <w:rsid w:val="00BB1942"/>
    <w:rsid w:val="00BB5FA4"/>
    <w:rsid w:val="00BB68B5"/>
    <w:rsid w:val="00BC1E44"/>
    <w:rsid w:val="00BD10F5"/>
    <w:rsid w:val="00BD198F"/>
    <w:rsid w:val="00BD7A68"/>
    <w:rsid w:val="00BE05DB"/>
    <w:rsid w:val="00BE4848"/>
    <w:rsid w:val="00BF26ED"/>
    <w:rsid w:val="00C07F80"/>
    <w:rsid w:val="00C36F77"/>
    <w:rsid w:val="00C57971"/>
    <w:rsid w:val="00C63D2C"/>
    <w:rsid w:val="00C650ED"/>
    <w:rsid w:val="00C711B7"/>
    <w:rsid w:val="00C90875"/>
    <w:rsid w:val="00CA6277"/>
    <w:rsid w:val="00CB5B94"/>
    <w:rsid w:val="00CC30CF"/>
    <w:rsid w:val="00CC680A"/>
    <w:rsid w:val="00CD1800"/>
    <w:rsid w:val="00CE452A"/>
    <w:rsid w:val="00CF193A"/>
    <w:rsid w:val="00CF3D58"/>
    <w:rsid w:val="00D00793"/>
    <w:rsid w:val="00D17647"/>
    <w:rsid w:val="00D23053"/>
    <w:rsid w:val="00D231E7"/>
    <w:rsid w:val="00D3561F"/>
    <w:rsid w:val="00D52741"/>
    <w:rsid w:val="00D57AC1"/>
    <w:rsid w:val="00D67F33"/>
    <w:rsid w:val="00D9155A"/>
    <w:rsid w:val="00D93E13"/>
    <w:rsid w:val="00DA317E"/>
    <w:rsid w:val="00DA4198"/>
    <w:rsid w:val="00DB6F15"/>
    <w:rsid w:val="00DE2811"/>
    <w:rsid w:val="00DE7627"/>
    <w:rsid w:val="00DF2345"/>
    <w:rsid w:val="00E07E73"/>
    <w:rsid w:val="00E4362E"/>
    <w:rsid w:val="00E57A03"/>
    <w:rsid w:val="00E7113B"/>
    <w:rsid w:val="00E73644"/>
    <w:rsid w:val="00E802C3"/>
    <w:rsid w:val="00EA7849"/>
    <w:rsid w:val="00EB2B57"/>
    <w:rsid w:val="00EC1706"/>
    <w:rsid w:val="00EF37F3"/>
    <w:rsid w:val="00EF4CF3"/>
    <w:rsid w:val="00F01082"/>
    <w:rsid w:val="00F20E3E"/>
    <w:rsid w:val="00F23B74"/>
    <w:rsid w:val="00F30829"/>
    <w:rsid w:val="00F359DF"/>
    <w:rsid w:val="00F551A2"/>
    <w:rsid w:val="00F573E0"/>
    <w:rsid w:val="00F6011E"/>
    <w:rsid w:val="00F623D5"/>
    <w:rsid w:val="00F81C76"/>
    <w:rsid w:val="00F83BA4"/>
    <w:rsid w:val="00FA1D87"/>
    <w:rsid w:val="00FA7789"/>
    <w:rsid w:val="00FD3A85"/>
    <w:rsid w:val="00FE3A2B"/>
    <w:rsid w:val="00FE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0F"/>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 w:type="paragraph" w:styleId="FootnoteText">
    <w:name w:val="footnote text"/>
    <w:basedOn w:val="Normal"/>
    <w:link w:val="FootnoteTextChar"/>
    <w:uiPriority w:val="99"/>
    <w:semiHidden/>
    <w:unhideWhenUsed/>
    <w:rsid w:val="00050D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0D3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50D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0F"/>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 w:type="paragraph" w:styleId="FootnoteText">
    <w:name w:val="footnote text"/>
    <w:basedOn w:val="Normal"/>
    <w:link w:val="FootnoteTextChar"/>
    <w:uiPriority w:val="99"/>
    <w:semiHidden/>
    <w:unhideWhenUsed/>
    <w:rsid w:val="00050D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0D3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50D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924">
      <w:bodyDiv w:val="1"/>
      <w:marLeft w:val="0"/>
      <w:marRight w:val="0"/>
      <w:marTop w:val="0"/>
      <w:marBottom w:val="0"/>
      <w:divBdr>
        <w:top w:val="none" w:sz="0" w:space="0" w:color="auto"/>
        <w:left w:val="none" w:sz="0" w:space="0" w:color="auto"/>
        <w:bottom w:val="none" w:sz="0" w:space="0" w:color="auto"/>
        <w:right w:val="none" w:sz="0" w:space="0" w:color="auto"/>
      </w:divBdr>
      <w:divsChild>
        <w:div w:id="236790153">
          <w:marLeft w:val="0"/>
          <w:marRight w:val="0"/>
          <w:marTop w:val="0"/>
          <w:marBottom w:val="100"/>
          <w:divBdr>
            <w:top w:val="none" w:sz="0" w:space="0" w:color="auto"/>
            <w:left w:val="none" w:sz="0" w:space="0" w:color="auto"/>
            <w:bottom w:val="none" w:sz="0" w:space="0" w:color="auto"/>
            <w:right w:val="none" w:sz="0" w:space="0" w:color="auto"/>
          </w:divBdr>
          <w:divsChild>
            <w:div w:id="1666470404">
              <w:marLeft w:val="0"/>
              <w:marRight w:val="0"/>
              <w:marTop w:val="0"/>
              <w:marBottom w:val="0"/>
              <w:divBdr>
                <w:top w:val="none" w:sz="0" w:space="0" w:color="auto"/>
                <w:left w:val="none" w:sz="0" w:space="0" w:color="auto"/>
                <w:bottom w:val="none" w:sz="0" w:space="0" w:color="auto"/>
                <w:right w:val="none" w:sz="0" w:space="0" w:color="auto"/>
              </w:divBdr>
              <w:divsChild>
                <w:div w:id="335115488">
                  <w:marLeft w:val="2700"/>
                  <w:marRight w:val="0"/>
                  <w:marTop w:val="0"/>
                  <w:marBottom w:val="0"/>
                  <w:divBdr>
                    <w:top w:val="none" w:sz="0" w:space="0" w:color="auto"/>
                    <w:left w:val="none" w:sz="0" w:space="0" w:color="auto"/>
                    <w:bottom w:val="none" w:sz="0" w:space="0" w:color="auto"/>
                    <w:right w:val="none" w:sz="0" w:space="0" w:color="auto"/>
                  </w:divBdr>
                  <w:divsChild>
                    <w:div w:id="2068070992">
                      <w:marLeft w:val="285"/>
                      <w:marRight w:val="285"/>
                      <w:marTop w:val="285"/>
                      <w:marBottom w:val="285"/>
                      <w:divBdr>
                        <w:top w:val="none" w:sz="0" w:space="0" w:color="auto"/>
                        <w:left w:val="none" w:sz="0" w:space="0" w:color="auto"/>
                        <w:bottom w:val="none" w:sz="0" w:space="0" w:color="auto"/>
                        <w:right w:val="none" w:sz="0" w:space="0" w:color="auto"/>
                      </w:divBdr>
                      <w:divsChild>
                        <w:div w:id="1617905205">
                          <w:marLeft w:val="0"/>
                          <w:marRight w:val="0"/>
                          <w:marTop w:val="0"/>
                          <w:marBottom w:val="0"/>
                          <w:divBdr>
                            <w:top w:val="none" w:sz="0" w:space="0" w:color="auto"/>
                            <w:left w:val="none" w:sz="0" w:space="0" w:color="auto"/>
                            <w:bottom w:val="none" w:sz="0" w:space="0" w:color="auto"/>
                            <w:right w:val="none" w:sz="0" w:space="0" w:color="auto"/>
                          </w:divBdr>
                          <w:divsChild>
                            <w:div w:id="169877155">
                              <w:marLeft w:val="0"/>
                              <w:marRight w:val="0"/>
                              <w:marTop w:val="0"/>
                              <w:marBottom w:val="0"/>
                              <w:divBdr>
                                <w:top w:val="none" w:sz="0" w:space="0" w:color="auto"/>
                                <w:left w:val="none" w:sz="0" w:space="0" w:color="auto"/>
                                <w:bottom w:val="none" w:sz="0" w:space="0" w:color="auto"/>
                                <w:right w:val="none" w:sz="0" w:space="0" w:color="auto"/>
                              </w:divBdr>
                              <w:divsChild>
                                <w:div w:id="1269849820">
                                  <w:marLeft w:val="120"/>
                                  <w:marRight w:val="0"/>
                                  <w:marTop w:val="120"/>
                                  <w:marBottom w:val="120"/>
                                  <w:divBdr>
                                    <w:top w:val="none" w:sz="0" w:space="0" w:color="auto"/>
                                    <w:left w:val="none" w:sz="0" w:space="0" w:color="auto"/>
                                    <w:bottom w:val="none" w:sz="0" w:space="0" w:color="auto"/>
                                    <w:right w:val="none" w:sz="0" w:space="0" w:color="auto"/>
                                  </w:divBdr>
                                  <w:divsChild>
                                    <w:div w:id="1133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09966">
      <w:bodyDiv w:val="1"/>
      <w:marLeft w:val="0"/>
      <w:marRight w:val="0"/>
      <w:marTop w:val="0"/>
      <w:marBottom w:val="0"/>
      <w:divBdr>
        <w:top w:val="none" w:sz="0" w:space="0" w:color="auto"/>
        <w:left w:val="none" w:sz="0" w:space="0" w:color="auto"/>
        <w:bottom w:val="none" w:sz="0" w:space="0" w:color="auto"/>
        <w:right w:val="none" w:sz="0" w:space="0" w:color="auto"/>
      </w:divBdr>
      <w:divsChild>
        <w:div w:id="781270144">
          <w:marLeft w:val="0"/>
          <w:marRight w:val="0"/>
          <w:marTop w:val="0"/>
          <w:marBottom w:val="100"/>
          <w:divBdr>
            <w:top w:val="none" w:sz="0" w:space="0" w:color="auto"/>
            <w:left w:val="none" w:sz="0" w:space="0" w:color="auto"/>
            <w:bottom w:val="none" w:sz="0" w:space="0" w:color="auto"/>
            <w:right w:val="none" w:sz="0" w:space="0" w:color="auto"/>
          </w:divBdr>
          <w:divsChild>
            <w:div w:id="475529557">
              <w:marLeft w:val="0"/>
              <w:marRight w:val="0"/>
              <w:marTop w:val="0"/>
              <w:marBottom w:val="0"/>
              <w:divBdr>
                <w:top w:val="none" w:sz="0" w:space="0" w:color="auto"/>
                <w:left w:val="none" w:sz="0" w:space="0" w:color="auto"/>
                <w:bottom w:val="none" w:sz="0" w:space="0" w:color="auto"/>
                <w:right w:val="none" w:sz="0" w:space="0" w:color="auto"/>
              </w:divBdr>
              <w:divsChild>
                <w:div w:id="380712661">
                  <w:marLeft w:val="2700"/>
                  <w:marRight w:val="0"/>
                  <w:marTop w:val="0"/>
                  <w:marBottom w:val="0"/>
                  <w:divBdr>
                    <w:top w:val="none" w:sz="0" w:space="0" w:color="auto"/>
                    <w:left w:val="none" w:sz="0" w:space="0" w:color="auto"/>
                    <w:bottom w:val="none" w:sz="0" w:space="0" w:color="auto"/>
                    <w:right w:val="none" w:sz="0" w:space="0" w:color="auto"/>
                  </w:divBdr>
                  <w:divsChild>
                    <w:div w:id="53553038">
                      <w:marLeft w:val="285"/>
                      <w:marRight w:val="285"/>
                      <w:marTop w:val="285"/>
                      <w:marBottom w:val="285"/>
                      <w:divBdr>
                        <w:top w:val="none" w:sz="0" w:space="0" w:color="auto"/>
                        <w:left w:val="none" w:sz="0" w:space="0" w:color="auto"/>
                        <w:bottom w:val="none" w:sz="0" w:space="0" w:color="auto"/>
                        <w:right w:val="none" w:sz="0" w:space="0" w:color="auto"/>
                      </w:divBdr>
                      <w:divsChild>
                        <w:div w:id="226887440">
                          <w:marLeft w:val="0"/>
                          <w:marRight w:val="0"/>
                          <w:marTop w:val="0"/>
                          <w:marBottom w:val="0"/>
                          <w:divBdr>
                            <w:top w:val="none" w:sz="0" w:space="0" w:color="auto"/>
                            <w:left w:val="none" w:sz="0" w:space="0" w:color="auto"/>
                            <w:bottom w:val="none" w:sz="0" w:space="0" w:color="auto"/>
                            <w:right w:val="none" w:sz="0" w:space="0" w:color="auto"/>
                          </w:divBdr>
                          <w:divsChild>
                            <w:div w:id="1284389532">
                              <w:marLeft w:val="0"/>
                              <w:marRight w:val="0"/>
                              <w:marTop w:val="0"/>
                              <w:marBottom w:val="0"/>
                              <w:divBdr>
                                <w:top w:val="none" w:sz="0" w:space="0" w:color="auto"/>
                                <w:left w:val="none" w:sz="0" w:space="0" w:color="auto"/>
                                <w:bottom w:val="none" w:sz="0" w:space="0" w:color="auto"/>
                                <w:right w:val="none" w:sz="0" w:space="0" w:color="auto"/>
                              </w:divBdr>
                              <w:divsChild>
                                <w:div w:id="1345591293">
                                  <w:marLeft w:val="120"/>
                                  <w:marRight w:val="0"/>
                                  <w:marTop w:val="120"/>
                                  <w:marBottom w:val="120"/>
                                  <w:divBdr>
                                    <w:top w:val="none" w:sz="0" w:space="0" w:color="auto"/>
                                    <w:left w:val="none" w:sz="0" w:space="0" w:color="auto"/>
                                    <w:bottom w:val="none" w:sz="0" w:space="0" w:color="auto"/>
                                    <w:right w:val="none" w:sz="0" w:space="0" w:color="auto"/>
                                  </w:divBdr>
                                  <w:divsChild>
                                    <w:div w:id="9754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870266">
      <w:bodyDiv w:val="1"/>
      <w:marLeft w:val="0"/>
      <w:marRight w:val="0"/>
      <w:marTop w:val="0"/>
      <w:marBottom w:val="0"/>
      <w:divBdr>
        <w:top w:val="none" w:sz="0" w:space="0" w:color="auto"/>
        <w:left w:val="none" w:sz="0" w:space="0" w:color="auto"/>
        <w:bottom w:val="none" w:sz="0" w:space="0" w:color="auto"/>
        <w:right w:val="none" w:sz="0" w:space="0" w:color="auto"/>
      </w:divBdr>
    </w:div>
    <w:div w:id="996496280">
      <w:bodyDiv w:val="1"/>
      <w:marLeft w:val="0"/>
      <w:marRight w:val="0"/>
      <w:marTop w:val="0"/>
      <w:marBottom w:val="0"/>
      <w:divBdr>
        <w:top w:val="none" w:sz="0" w:space="0" w:color="auto"/>
        <w:left w:val="none" w:sz="0" w:space="0" w:color="auto"/>
        <w:bottom w:val="none" w:sz="0" w:space="0" w:color="auto"/>
        <w:right w:val="none" w:sz="0" w:space="0" w:color="auto"/>
      </w:divBdr>
    </w:div>
    <w:div w:id="1151364083">
      <w:bodyDiv w:val="1"/>
      <w:marLeft w:val="0"/>
      <w:marRight w:val="0"/>
      <w:marTop w:val="0"/>
      <w:marBottom w:val="0"/>
      <w:divBdr>
        <w:top w:val="none" w:sz="0" w:space="0" w:color="auto"/>
        <w:left w:val="none" w:sz="0" w:space="0" w:color="auto"/>
        <w:bottom w:val="none" w:sz="0" w:space="0" w:color="auto"/>
        <w:right w:val="none" w:sz="0" w:space="0" w:color="auto"/>
      </w:divBdr>
    </w:div>
    <w:div w:id="18852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AA30-7976-4E4F-9405-A56C9E9D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A6CDE57C</Template>
  <TotalTime>0</TotalTime>
  <Pages>5</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abrown2</cp:lastModifiedBy>
  <cp:revision>2</cp:revision>
  <dcterms:created xsi:type="dcterms:W3CDTF">2015-12-29T16:30:00Z</dcterms:created>
  <dcterms:modified xsi:type="dcterms:W3CDTF">2015-12-29T16:30:00Z</dcterms:modified>
</cp:coreProperties>
</file>